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14BC" w14:textId="3C25C061" w:rsidR="005F72CC" w:rsidRPr="0053519A" w:rsidRDefault="00750A6B" w:rsidP="005F72CC">
      <w:pPr>
        <w:pBdr>
          <w:bottom w:val="single" w:sz="4" w:space="1" w:color="auto"/>
        </w:pBdr>
        <w:rPr>
          <w:rFonts w:ascii="Arial" w:hAnsi="Arial" w:cs="Arial"/>
          <w:sz w:val="20"/>
          <w:szCs w:val="20"/>
        </w:rPr>
      </w:pPr>
      <w:r>
        <w:rPr>
          <w:rFonts w:ascii="Arial" w:hAnsi="Arial" w:cs="Arial"/>
          <w:sz w:val="20"/>
          <w:szCs w:val="20"/>
        </w:rPr>
        <w:t xml:space="preserve">Created: </w:t>
      </w:r>
      <w:r w:rsidR="00386461">
        <w:rPr>
          <w:rFonts w:ascii="Arial" w:hAnsi="Arial" w:cs="Arial"/>
          <w:sz w:val="20"/>
          <w:szCs w:val="20"/>
        </w:rPr>
        <w:t xml:space="preserve">August 23, </w:t>
      </w:r>
      <w:proofErr w:type="gramStart"/>
      <w:r w:rsidR="00D66779">
        <w:rPr>
          <w:rFonts w:ascii="Arial" w:hAnsi="Arial" w:cs="Arial"/>
          <w:sz w:val="20"/>
          <w:szCs w:val="20"/>
        </w:rPr>
        <w:t>202</w:t>
      </w:r>
      <w:r w:rsidR="00386461">
        <w:rPr>
          <w:rFonts w:ascii="Arial" w:hAnsi="Arial" w:cs="Arial"/>
          <w:sz w:val="20"/>
          <w:szCs w:val="20"/>
        </w:rPr>
        <w:t>2</w:t>
      </w:r>
      <w:proofErr w:type="gramEnd"/>
      <w:r w:rsidR="004D7573">
        <w:rPr>
          <w:rFonts w:ascii="Arial" w:hAnsi="Arial" w:cs="Arial"/>
          <w:sz w:val="20"/>
          <w:szCs w:val="20"/>
        </w:rPr>
        <w:tab/>
      </w:r>
      <w:r w:rsidR="004D7573">
        <w:rPr>
          <w:rFonts w:ascii="Arial" w:hAnsi="Arial" w:cs="Arial"/>
          <w:sz w:val="20"/>
          <w:szCs w:val="20"/>
        </w:rPr>
        <w:tab/>
      </w:r>
      <w:r w:rsidR="004D7573">
        <w:rPr>
          <w:rFonts w:ascii="Arial" w:hAnsi="Arial" w:cs="Arial"/>
          <w:sz w:val="20"/>
          <w:szCs w:val="20"/>
        </w:rPr>
        <w:tab/>
      </w:r>
      <w:r w:rsidR="004D7573">
        <w:rPr>
          <w:rFonts w:ascii="Arial" w:hAnsi="Arial" w:cs="Arial"/>
          <w:sz w:val="20"/>
          <w:szCs w:val="20"/>
        </w:rPr>
        <w:tab/>
      </w:r>
      <w:r w:rsidR="004D7573">
        <w:rPr>
          <w:rFonts w:ascii="Arial" w:hAnsi="Arial" w:cs="Arial"/>
          <w:sz w:val="20"/>
          <w:szCs w:val="20"/>
        </w:rPr>
        <w:tab/>
      </w:r>
      <w:r w:rsidR="004D7573">
        <w:rPr>
          <w:rFonts w:ascii="Arial" w:hAnsi="Arial" w:cs="Arial"/>
          <w:sz w:val="20"/>
          <w:szCs w:val="20"/>
        </w:rPr>
        <w:tab/>
      </w:r>
      <w:r w:rsidR="004D7573">
        <w:rPr>
          <w:rFonts w:ascii="Arial" w:hAnsi="Arial" w:cs="Arial"/>
          <w:sz w:val="20"/>
          <w:szCs w:val="20"/>
        </w:rPr>
        <w:tab/>
        <w:t>Revised: February</w:t>
      </w:r>
      <w:r w:rsidR="00853010">
        <w:rPr>
          <w:rFonts w:ascii="Arial" w:hAnsi="Arial" w:cs="Arial"/>
          <w:sz w:val="20"/>
          <w:szCs w:val="20"/>
        </w:rPr>
        <w:t xml:space="preserve"> </w:t>
      </w:r>
      <w:r w:rsidR="004D7573">
        <w:rPr>
          <w:rFonts w:ascii="Arial" w:hAnsi="Arial" w:cs="Arial"/>
          <w:sz w:val="20"/>
          <w:szCs w:val="20"/>
        </w:rPr>
        <w:t>11, 2025</w:t>
      </w:r>
    </w:p>
    <w:p w14:paraId="45F314BD" w14:textId="77777777" w:rsidR="005F72CC" w:rsidRDefault="005F72CC" w:rsidP="00CD32BE">
      <w:pPr>
        <w:rPr>
          <w:rFonts w:ascii="Arial" w:hAnsi="Arial" w:cs="Arial"/>
          <w:b/>
          <w:sz w:val="24"/>
          <w:szCs w:val="24"/>
        </w:rPr>
      </w:pPr>
    </w:p>
    <w:p w14:paraId="45F314BE" w14:textId="77777777" w:rsidR="00D41BB4" w:rsidRDefault="00D41BB4" w:rsidP="00CD32BE">
      <w:pPr>
        <w:rPr>
          <w:rFonts w:ascii="Arial" w:hAnsi="Arial" w:cs="Arial"/>
          <w:b/>
          <w:sz w:val="24"/>
          <w:szCs w:val="24"/>
        </w:rPr>
      </w:pPr>
    </w:p>
    <w:p w14:paraId="45F314BF" w14:textId="77777777" w:rsidR="009C51C0" w:rsidRPr="000946E0" w:rsidRDefault="009C51C0" w:rsidP="009C51C0">
      <w:pPr>
        <w:pBdr>
          <w:bottom w:val="single" w:sz="4" w:space="1" w:color="auto"/>
        </w:pBdr>
        <w:rPr>
          <w:rFonts w:ascii="Arial" w:hAnsi="Arial" w:cs="Arial"/>
          <w:b/>
          <w:smallCaps/>
          <w:sz w:val="24"/>
        </w:rPr>
      </w:pPr>
      <w:r w:rsidRPr="000946E0">
        <w:rPr>
          <w:rFonts w:ascii="Arial" w:hAnsi="Arial" w:cs="Arial"/>
          <w:b/>
          <w:smallCaps/>
          <w:sz w:val="24"/>
        </w:rPr>
        <w:t>PURPOSE</w:t>
      </w:r>
    </w:p>
    <w:p w14:paraId="08AD058D" w14:textId="4CF989BC" w:rsidR="00660E2D" w:rsidRDefault="009C6D02" w:rsidP="000946E0">
      <w:pPr>
        <w:rPr>
          <w:rFonts w:ascii="Arial" w:hAnsi="Arial"/>
        </w:rPr>
      </w:pPr>
      <w:r w:rsidRPr="009C6D02">
        <w:rPr>
          <w:rFonts w:ascii="Arial" w:hAnsi="Arial"/>
        </w:rPr>
        <w:t>The purpose of th</w:t>
      </w:r>
      <w:r w:rsidR="00144F2D">
        <w:rPr>
          <w:rFonts w:ascii="Arial" w:hAnsi="Arial"/>
        </w:rPr>
        <w:t>ese guidelines</w:t>
      </w:r>
      <w:r w:rsidRPr="009C6D02">
        <w:rPr>
          <w:rFonts w:ascii="Arial" w:hAnsi="Arial"/>
        </w:rPr>
        <w:t xml:space="preserve"> is to provide guiding principles for staff overloads involving additional duties that result in a temporary pay increase. This increase must comply with university compensation principles, ensure transparency, and promote equity and consistency throughout the college. Overload pay is intended for short-term arrangements and should not be used as a long-term compensation strategy. EHE overload arrangements should not exceed 90 days and </w:t>
      </w:r>
      <w:r w:rsidR="00532F67">
        <w:rPr>
          <w:rFonts w:ascii="Arial" w:hAnsi="Arial"/>
        </w:rPr>
        <w:t>should</w:t>
      </w:r>
      <w:r w:rsidRPr="009C6D02">
        <w:rPr>
          <w:rFonts w:ascii="Arial" w:hAnsi="Arial"/>
        </w:rPr>
        <w:t xml:space="preserve"> not surpass 10 percent of the employee’s base salary.</w:t>
      </w:r>
    </w:p>
    <w:p w14:paraId="611D93B1" w14:textId="77777777" w:rsidR="009C6D02" w:rsidRDefault="009C6D02" w:rsidP="000946E0">
      <w:pPr>
        <w:rPr>
          <w:rFonts w:ascii="Arial" w:hAnsi="Arial"/>
        </w:rPr>
      </w:pPr>
    </w:p>
    <w:p w14:paraId="1437180E" w14:textId="77777777" w:rsidR="009C6D02" w:rsidRDefault="009C6D02" w:rsidP="000946E0">
      <w:pPr>
        <w:rPr>
          <w:rFonts w:ascii="Arial" w:hAnsi="Arial" w:cs="Arial"/>
          <w:b/>
          <w:bCs/>
        </w:rPr>
      </w:pPr>
    </w:p>
    <w:p w14:paraId="45F314C3" w14:textId="2FB332B5" w:rsidR="000946E0" w:rsidRPr="00737982" w:rsidRDefault="000946E0" w:rsidP="000946E0">
      <w:pPr>
        <w:rPr>
          <w:rFonts w:ascii="Arial" w:hAnsi="Arial" w:cs="Arial"/>
          <w:b/>
          <w:bCs/>
        </w:rPr>
      </w:pPr>
      <w:r w:rsidRPr="00737982">
        <w:rPr>
          <w:rFonts w:ascii="Arial" w:hAnsi="Arial" w:cs="Arial"/>
          <w:b/>
          <w:bCs/>
        </w:rPr>
        <w:t xml:space="preserve">These </w:t>
      </w:r>
      <w:r w:rsidR="00455015" w:rsidRPr="00737982">
        <w:rPr>
          <w:rFonts w:ascii="Arial" w:hAnsi="Arial" w:cs="Arial"/>
          <w:b/>
          <w:bCs/>
        </w:rPr>
        <w:t>Guidelines</w:t>
      </w:r>
      <w:r w:rsidR="00165530" w:rsidRPr="00737982">
        <w:rPr>
          <w:rFonts w:ascii="Arial" w:hAnsi="Arial" w:cs="Arial"/>
          <w:b/>
          <w:bCs/>
        </w:rPr>
        <w:t xml:space="preserve"> </w:t>
      </w:r>
      <w:r w:rsidRPr="00737982">
        <w:rPr>
          <w:rFonts w:ascii="Arial" w:hAnsi="Arial" w:cs="Arial"/>
          <w:b/>
          <w:bCs/>
        </w:rPr>
        <w:t>will</w:t>
      </w:r>
      <w:r w:rsidR="00165530" w:rsidRPr="00737982">
        <w:rPr>
          <w:rFonts w:ascii="Arial" w:hAnsi="Arial" w:cs="Arial"/>
          <w:b/>
          <w:bCs/>
        </w:rPr>
        <w:t xml:space="preserve"> provide</w:t>
      </w:r>
      <w:r w:rsidRPr="00737982">
        <w:rPr>
          <w:rFonts w:ascii="Arial" w:hAnsi="Arial" w:cs="Arial"/>
          <w:b/>
          <w:bCs/>
        </w:rPr>
        <w:t>:</w:t>
      </w:r>
    </w:p>
    <w:p w14:paraId="1B7F6763" w14:textId="77777777" w:rsidR="009C6D02" w:rsidRPr="009C6D02" w:rsidRDefault="009C6D02" w:rsidP="009C6D02">
      <w:pPr>
        <w:pStyle w:val="NoSpacing"/>
        <w:numPr>
          <w:ilvl w:val="0"/>
          <w:numId w:val="19"/>
        </w:numPr>
        <w:rPr>
          <w:rFonts w:ascii="Arial" w:hAnsi="Arial" w:cs="Arial"/>
          <w:b/>
          <w:bCs/>
        </w:rPr>
      </w:pPr>
      <w:r w:rsidRPr="009C6D02">
        <w:rPr>
          <w:rFonts w:ascii="Arial" w:hAnsi="Arial"/>
        </w:rPr>
        <w:t>Criteria for managers to determine the appropriate duration of an overload</w:t>
      </w:r>
    </w:p>
    <w:p w14:paraId="0618B30E" w14:textId="77777777" w:rsidR="009C6D02" w:rsidRPr="009C6D02" w:rsidRDefault="009C6D02" w:rsidP="009C6D02">
      <w:pPr>
        <w:pStyle w:val="NoSpacing"/>
        <w:numPr>
          <w:ilvl w:val="0"/>
          <w:numId w:val="19"/>
        </w:numPr>
        <w:rPr>
          <w:rFonts w:ascii="Arial" w:hAnsi="Arial" w:cs="Arial"/>
          <w:b/>
          <w:bCs/>
        </w:rPr>
      </w:pPr>
      <w:r w:rsidRPr="009C6D02">
        <w:rPr>
          <w:rFonts w:ascii="Arial" w:hAnsi="Arial"/>
        </w:rPr>
        <w:t xml:space="preserve">Consistent standards </w:t>
      </w:r>
      <w:proofErr w:type="gramStart"/>
      <w:r w:rsidRPr="009C6D02">
        <w:rPr>
          <w:rFonts w:ascii="Arial" w:hAnsi="Arial"/>
        </w:rPr>
        <w:t>for the amount of</w:t>
      </w:r>
      <w:proofErr w:type="gramEnd"/>
      <w:r w:rsidRPr="009C6D02">
        <w:rPr>
          <w:rFonts w:ascii="Arial" w:hAnsi="Arial"/>
        </w:rPr>
        <w:t xml:space="preserve"> additional compensation that can be paid</w:t>
      </w:r>
    </w:p>
    <w:p w14:paraId="4E80BD70" w14:textId="77777777" w:rsidR="009C6D02" w:rsidRPr="009C6D02" w:rsidRDefault="009C6D02" w:rsidP="009C6D02">
      <w:pPr>
        <w:pStyle w:val="NoSpacing"/>
        <w:numPr>
          <w:ilvl w:val="0"/>
          <w:numId w:val="19"/>
        </w:numPr>
        <w:rPr>
          <w:rFonts w:ascii="Arial" w:hAnsi="Arial" w:cs="Arial"/>
          <w:b/>
          <w:bCs/>
        </w:rPr>
      </w:pPr>
      <w:r w:rsidRPr="009C6D02">
        <w:rPr>
          <w:rFonts w:ascii="Arial" w:hAnsi="Arial"/>
        </w:rPr>
        <w:t>Guidance in determining staffing needs and staff augmentation options</w:t>
      </w:r>
    </w:p>
    <w:p w14:paraId="155FBE84" w14:textId="01344D29" w:rsidR="009C6D02" w:rsidRPr="000C3D57" w:rsidRDefault="009C6D02" w:rsidP="009C6D02">
      <w:pPr>
        <w:pStyle w:val="NoSpacing"/>
        <w:numPr>
          <w:ilvl w:val="0"/>
          <w:numId w:val="19"/>
        </w:numPr>
        <w:rPr>
          <w:rFonts w:ascii="Arial" w:hAnsi="Arial" w:cs="Arial"/>
          <w:b/>
          <w:bCs/>
        </w:rPr>
      </w:pPr>
      <w:r w:rsidRPr="009C6D02">
        <w:rPr>
          <w:rFonts w:ascii="Arial" w:hAnsi="Arial"/>
        </w:rPr>
        <w:t>Improved oversight of staff overload spending across the college</w:t>
      </w:r>
    </w:p>
    <w:p w14:paraId="5FACA64C" w14:textId="65A78A05" w:rsidR="000C3D57" w:rsidRPr="00E70A4F" w:rsidRDefault="000C3D57" w:rsidP="009C6D02">
      <w:pPr>
        <w:pStyle w:val="NoSpacing"/>
        <w:numPr>
          <w:ilvl w:val="0"/>
          <w:numId w:val="19"/>
        </w:numPr>
        <w:rPr>
          <w:rFonts w:ascii="Arial" w:hAnsi="Arial" w:cs="Arial"/>
          <w:b/>
          <w:bCs/>
        </w:rPr>
      </w:pPr>
      <w:r>
        <w:rPr>
          <w:rFonts w:ascii="Arial" w:hAnsi="Arial"/>
        </w:rPr>
        <w:t>Non-Exempt not eligible for Overload, eligible for Overtime only</w:t>
      </w:r>
    </w:p>
    <w:p w14:paraId="0E1BEC80" w14:textId="3E146EC4" w:rsidR="00E70A4F" w:rsidRDefault="00E70A4F" w:rsidP="009C6D02">
      <w:pPr>
        <w:pStyle w:val="NoSpacing"/>
        <w:numPr>
          <w:ilvl w:val="0"/>
          <w:numId w:val="19"/>
        </w:numPr>
        <w:rPr>
          <w:rFonts w:ascii="Arial" w:hAnsi="Arial" w:cs="Arial"/>
          <w:b/>
          <w:bCs/>
        </w:rPr>
      </w:pPr>
      <w:r>
        <w:rPr>
          <w:rFonts w:ascii="Arial" w:hAnsi="Arial"/>
        </w:rPr>
        <w:t>No Retro request will be accepted for overload pay</w:t>
      </w:r>
    </w:p>
    <w:p w14:paraId="0F431804" w14:textId="77777777" w:rsidR="009C6D02" w:rsidRDefault="009C6D02" w:rsidP="00B0264D">
      <w:pPr>
        <w:pStyle w:val="NoSpacing"/>
        <w:rPr>
          <w:rFonts w:ascii="Arial" w:hAnsi="Arial" w:cs="Arial"/>
          <w:b/>
          <w:bCs/>
        </w:rPr>
      </w:pPr>
    </w:p>
    <w:p w14:paraId="46E0FA0B" w14:textId="77777777" w:rsidR="005C31B7" w:rsidRDefault="005C31B7" w:rsidP="00B0264D">
      <w:pPr>
        <w:pStyle w:val="NoSpacing"/>
        <w:rPr>
          <w:rFonts w:ascii="Arial" w:hAnsi="Arial" w:cs="Arial"/>
          <w:b/>
          <w:bCs/>
        </w:rPr>
      </w:pPr>
    </w:p>
    <w:p w14:paraId="45F314CA" w14:textId="76737874" w:rsidR="000946E0" w:rsidRPr="00737982" w:rsidRDefault="000946E0" w:rsidP="00B0264D">
      <w:pPr>
        <w:pStyle w:val="NoSpacing"/>
        <w:rPr>
          <w:rFonts w:ascii="Arial" w:hAnsi="Arial" w:cs="Arial"/>
          <w:b/>
          <w:bCs/>
        </w:rPr>
      </w:pPr>
      <w:r w:rsidRPr="00737982">
        <w:rPr>
          <w:rFonts w:ascii="Arial" w:hAnsi="Arial" w:cs="Arial"/>
          <w:b/>
          <w:bCs/>
        </w:rPr>
        <w:t xml:space="preserve">This </w:t>
      </w:r>
      <w:r w:rsidR="005D68FD" w:rsidRPr="00737982">
        <w:rPr>
          <w:rFonts w:ascii="Arial" w:hAnsi="Arial" w:cs="Arial"/>
          <w:b/>
          <w:bCs/>
        </w:rPr>
        <w:t>process</w:t>
      </w:r>
      <w:r w:rsidRPr="00737982">
        <w:rPr>
          <w:rFonts w:ascii="Arial" w:hAnsi="Arial" w:cs="Arial"/>
          <w:b/>
          <w:bCs/>
        </w:rPr>
        <w:t xml:space="preserve"> will be applied consistently with the university’s </w:t>
      </w:r>
      <w:r w:rsidR="0069427C" w:rsidRPr="00737982">
        <w:rPr>
          <w:rFonts w:ascii="Arial" w:hAnsi="Arial" w:cs="Arial"/>
          <w:b/>
          <w:bCs/>
        </w:rPr>
        <w:t xml:space="preserve">following policies: </w:t>
      </w:r>
    </w:p>
    <w:p w14:paraId="134BF34E" w14:textId="5AFE8E9B" w:rsidR="0034533D" w:rsidRPr="009C6D02" w:rsidRDefault="0034533D" w:rsidP="0034533D">
      <w:pPr>
        <w:ind w:firstLine="720"/>
        <w:rPr>
          <w:rFonts w:ascii="Arial" w:hAnsi="Arial" w:cs="Arial"/>
          <w:b/>
        </w:rPr>
      </w:pPr>
      <w:r w:rsidRPr="009C6D02">
        <w:rPr>
          <w:rFonts w:ascii="Arial" w:hAnsi="Arial" w:cs="Arial"/>
          <w:bCs/>
        </w:rPr>
        <w:t>Policy 3.10,</w:t>
      </w:r>
      <w:r w:rsidR="00CC5016" w:rsidRPr="009C6D02">
        <w:rPr>
          <w:rFonts w:ascii="Arial" w:hAnsi="Arial" w:cs="Arial"/>
          <w:b/>
        </w:rPr>
        <w:t xml:space="preserve"> </w:t>
      </w:r>
      <w:hyperlink r:id="rId8" w:history="1">
        <w:r w:rsidR="00CC5016" w:rsidRPr="009C6D02">
          <w:rPr>
            <w:rStyle w:val="Hyperlink"/>
            <w:rFonts w:ascii="Arial" w:hAnsi="Arial" w:cs="Arial"/>
            <w:b/>
          </w:rPr>
          <w:t xml:space="preserve">Staff Compensation </w:t>
        </w:r>
      </w:hyperlink>
      <w:r w:rsidR="00CC5016" w:rsidRPr="009C6D02">
        <w:rPr>
          <w:rFonts w:ascii="Arial" w:hAnsi="Arial" w:cs="Arial"/>
          <w:b/>
        </w:rPr>
        <w:t xml:space="preserve"> </w:t>
      </w:r>
    </w:p>
    <w:p w14:paraId="6EF7AEEA" w14:textId="77777777" w:rsidR="0069427C" w:rsidRDefault="0069427C" w:rsidP="00B0264D">
      <w:pPr>
        <w:pStyle w:val="NoSpacing"/>
        <w:rPr>
          <w:rFonts w:ascii="Arial" w:hAnsi="Arial" w:cs="Arial"/>
        </w:rPr>
      </w:pPr>
    </w:p>
    <w:p w14:paraId="45F314CC" w14:textId="77777777" w:rsidR="00D41BB4" w:rsidRPr="00AF3C6D" w:rsidRDefault="00D41BB4" w:rsidP="000946E0">
      <w:pPr>
        <w:rPr>
          <w:rFonts w:ascii="Arial" w:hAnsi="Arial" w:cs="Arial"/>
        </w:rPr>
      </w:pPr>
    </w:p>
    <w:p w14:paraId="45F314CD" w14:textId="3CF66261" w:rsidR="000946E0" w:rsidRPr="005F72CC" w:rsidRDefault="000946E0" w:rsidP="000946E0">
      <w:pPr>
        <w:pBdr>
          <w:bottom w:val="single" w:sz="4" w:space="1" w:color="auto"/>
        </w:pBdr>
        <w:rPr>
          <w:rFonts w:ascii="Arial" w:hAnsi="Arial" w:cs="Arial"/>
          <w:b/>
          <w:sz w:val="24"/>
        </w:rPr>
      </w:pPr>
      <w:r>
        <w:rPr>
          <w:rFonts w:ascii="Arial" w:hAnsi="Arial" w:cs="Arial"/>
          <w:b/>
          <w:sz w:val="24"/>
        </w:rPr>
        <w:t>DEFINITION</w:t>
      </w:r>
      <w:r w:rsidR="00242265">
        <w:rPr>
          <w:rFonts w:ascii="Arial" w:hAnsi="Arial" w:cs="Arial"/>
          <w:b/>
          <w:sz w:val="24"/>
        </w:rPr>
        <w:t>S</w:t>
      </w:r>
    </w:p>
    <w:tbl>
      <w:tblPr>
        <w:tblStyle w:val="TableGrid"/>
        <w:tblW w:w="0" w:type="auto"/>
        <w:tblLook w:val="04A0" w:firstRow="1" w:lastRow="0" w:firstColumn="1" w:lastColumn="0" w:noHBand="0" w:noVBand="1"/>
      </w:tblPr>
      <w:tblGrid>
        <w:gridCol w:w="4405"/>
        <w:gridCol w:w="5665"/>
      </w:tblGrid>
      <w:tr w:rsidR="00CC322C" w14:paraId="02D3A532" w14:textId="77777777" w:rsidTr="00242265">
        <w:tc>
          <w:tcPr>
            <w:tcW w:w="4405" w:type="dxa"/>
          </w:tcPr>
          <w:p w14:paraId="610B702B" w14:textId="0D00C60E" w:rsidR="00530571" w:rsidRPr="00471A99" w:rsidRDefault="008C3C51" w:rsidP="000946E0">
            <w:pPr>
              <w:jc w:val="both"/>
              <w:rPr>
                <w:rFonts w:ascii="Arial" w:hAnsi="Arial" w:cs="Arial"/>
                <w:b/>
                <w:bCs/>
              </w:rPr>
            </w:pPr>
            <w:r w:rsidRPr="00471A99">
              <w:rPr>
                <w:rFonts w:ascii="Arial" w:hAnsi="Arial" w:cs="Arial"/>
                <w:b/>
                <w:bCs/>
              </w:rPr>
              <w:t>Overload</w:t>
            </w:r>
          </w:p>
        </w:tc>
        <w:tc>
          <w:tcPr>
            <w:tcW w:w="5665" w:type="dxa"/>
          </w:tcPr>
          <w:p w14:paraId="0EDB0175" w14:textId="0F5694FA" w:rsidR="00CC322C" w:rsidRPr="00AA4C0A" w:rsidRDefault="003740DC" w:rsidP="009C6D02">
            <w:pPr>
              <w:rPr>
                <w:rFonts w:ascii="Arial" w:hAnsi="Arial" w:cs="Arial"/>
              </w:rPr>
            </w:pPr>
            <w:r w:rsidRPr="003740DC">
              <w:rPr>
                <w:rFonts w:ascii="Arial" w:hAnsi="Arial" w:cs="Arial"/>
              </w:rPr>
              <w:t>Overload refers to significant additional duties and responsibilities assigned to a staff member beyond their primary job responsibilities, as outlined in their current position description.</w:t>
            </w:r>
          </w:p>
        </w:tc>
      </w:tr>
      <w:tr w:rsidR="00E56887" w14:paraId="0C2379E9" w14:textId="77777777" w:rsidTr="00242265">
        <w:tc>
          <w:tcPr>
            <w:tcW w:w="4405" w:type="dxa"/>
          </w:tcPr>
          <w:p w14:paraId="483C92D8" w14:textId="79B4AC73" w:rsidR="00E56887" w:rsidRPr="00471A99" w:rsidRDefault="00E56887" w:rsidP="000946E0">
            <w:pPr>
              <w:jc w:val="both"/>
              <w:rPr>
                <w:rFonts w:ascii="Arial" w:hAnsi="Arial" w:cs="Arial"/>
                <w:b/>
                <w:bCs/>
              </w:rPr>
            </w:pPr>
            <w:r w:rsidRPr="00471A99">
              <w:rPr>
                <w:rFonts w:ascii="Arial" w:hAnsi="Arial" w:cs="Arial"/>
                <w:b/>
                <w:bCs/>
              </w:rPr>
              <w:t>Overload Durations</w:t>
            </w:r>
          </w:p>
        </w:tc>
        <w:tc>
          <w:tcPr>
            <w:tcW w:w="5665" w:type="dxa"/>
          </w:tcPr>
          <w:p w14:paraId="56DA34AB" w14:textId="250DE01E" w:rsidR="00E56887" w:rsidRPr="00E56887" w:rsidRDefault="005C31B7" w:rsidP="00E56887">
            <w:pPr>
              <w:rPr>
                <w:rFonts w:ascii="Arial" w:eastAsia="Times New Roman" w:hAnsi="Arial" w:cs="Arial"/>
              </w:rPr>
            </w:pPr>
            <w:r w:rsidRPr="005C31B7">
              <w:rPr>
                <w:rFonts w:ascii="Arial" w:eastAsia="Times New Roman" w:hAnsi="Arial" w:cs="Arial"/>
              </w:rPr>
              <w:t>Overloads are to be provided for a maximum of 90 days. After that period, the short-term coverage of duties should either be incorporated into a staff member’s position description or an alternative plan should be implemented to cover the duties.</w:t>
            </w:r>
            <w:r w:rsidR="00C240C3">
              <w:rPr>
                <w:rFonts w:ascii="Arial" w:eastAsia="Times New Roman" w:hAnsi="Arial" w:cs="Arial"/>
              </w:rPr>
              <w:t xml:space="preserve"> </w:t>
            </w:r>
          </w:p>
        </w:tc>
      </w:tr>
      <w:tr w:rsidR="00CC322C" w14:paraId="284B788C" w14:textId="77777777" w:rsidTr="00242265">
        <w:tc>
          <w:tcPr>
            <w:tcW w:w="4405" w:type="dxa"/>
          </w:tcPr>
          <w:p w14:paraId="0C7531C7" w14:textId="4843AA25" w:rsidR="00CC322C" w:rsidRPr="00471A99" w:rsidRDefault="00EF5972" w:rsidP="000946E0">
            <w:pPr>
              <w:jc w:val="both"/>
              <w:rPr>
                <w:rFonts w:ascii="Arial" w:hAnsi="Arial" w:cs="Arial"/>
                <w:b/>
                <w:bCs/>
              </w:rPr>
            </w:pPr>
            <w:r w:rsidRPr="00471A99">
              <w:rPr>
                <w:rFonts w:ascii="Arial" w:hAnsi="Arial" w:cs="Arial"/>
                <w:b/>
                <w:bCs/>
              </w:rPr>
              <w:t>Example</w:t>
            </w:r>
            <w:r w:rsidR="00366B65" w:rsidRPr="00471A99">
              <w:rPr>
                <w:rFonts w:ascii="Arial" w:hAnsi="Arial" w:cs="Arial"/>
                <w:b/>
                <w:bCs/>
              </w:rPr>
              <w:t>s</w:t>
            </w:r>
            <w:r w:rsidRPr="00471A99">
              <w:rPr>
                <w:rFonts w:ascii="Arial" w:hAnsi="Arial" w:cs="Arial"/>
                <w:b/>
                <w:bCs/>
              </w:rPr>
              <w:t xml:space="preserve"> of Staff Overloads</w:t>
            </w:r>
          </w:p>
        </w:tc>
        <w:tc>
          <w:tcPr>
            <w:tcW w:w="5665" w:type="dxa"/>
          </w:tcPr>
          <w:p w14:paraId="30FE8812" w14:textId="3DCB6D14" w:rsidR="009C6D02" w:rsidRPr="009C6D02" w:rsidRDefault="009C6D02" w:rsidP="009C6D02">
            <w:pPr>
              <w:pStyle w:val="ListParagraph"/>
              <w:numPr>
                <w:ilvl w:val="0"/>
                <w:numId w:val="19"/>
              </w:numPr>
              <w:rPr>
                <w:rFonts w:ascii="Arial" w:eastAsia="Times New Roman" w:hAnsi="Arial" w:cs="Arial"/>
              </w:rPr>
            </w:pPr>
            <w:r w:rsidRPr="009C6D02">
              <w:rPr>
                <w:rFonts w:ascii="Arial" w:eastAsia="Times New Roman" w:hAnsi="Arial" w:cs="Arial"/>
              </w:rPr>
              <w:t xml:space="preserve">Taking on a temporary leadership role or managing a project outside the scope of their current position </w:t>
            </w:r>
          </w:p>
          <w:p w14:paraId="2FB6DF1A" w14:textId="73D7485B" w:rsidR="009C6D02" w:rsidRPr="009C6D02" w:rsidRDefault="009C6D02" w:rsidP="009C6D02">
            <w:pPr>
              <w:pStyle w:val="ListParagraph"/>
              <w:numPr>
                <w:ilvl w:val="0"/>
                <w:numId w:val="19"/>
              </w:numPr>
              <w:rPr>
                <w:rFonts w:ascii="Arial" w:eastAsia="Times New Roman" w:hAnsi="Arial" w:cs="Arial"/>
              </w:rPr>
            </w:pPr>
            <w:r w:rsidRPr="009C6D02">
              <w:rPr>
                <w:rFonts w:ascii="Arial" w:eastAsia="Times New Roman" w:hAnsi="Arial" w:cs="Arial"/>
              </w:rPr>
              <w:t xml:space="preserve">Supervising additional staff or overseeing a new team for a short-term period </w:t>
            </w:r>
          </w:p>
          <w:p w14:paraId="1599A3A4" w14:textId="30D1EE13" w:rsidR="009C6D02" w:rsidRPr="009C6D02" w:rsidRDefault="009C6D02" w:rsidP="009C6D02">
            <w:pPr>
              <w:pStyle w:val="ListParagraph"/>
              <w:numPr>
                <w:ilvl w:val="0"/>
                <w:numId w:val="19"/>
              </w:numPr>
              <w:rPr>
                <w:rFonts w:ascii="Arial" w:eastAsia="Times New Roman" w:hAnsi="Arial" w:cs="Arial"/>
              </w:rPr>
            </w:pPr>
            <w:r w:rsidRPr="009C6D02">
              <w:rPr>
                <w:rFonts w:ascii="Arial" w:eastAsia="Times New Roman" w:hAnsi="Arial" w:cs="Arial"/>
              </w:rPr>
              <w:t xml:space="preserve">Handling extra </w:t>
            </w:r>
            <w:r w:rsidR="006945AA">
              <w:rPr>
                <w:rFonts w:ascii="Arial" w:eastAsia="Times New Roman" w:hAnsi="Arial" w:cs="Arial"/>
              </w:rPr>
              <w:t xml:space="preserve">duties </w:t>
            </w:r>
            <w:r w:rsidRPr="009C6D02">
              <w:rPr>
                <w:rFonts w:ascii="Arial" w:eastAsia="Times New Roman" w:hAnsi="Arial" w:cs="Arial"/>
              </w:rPr>
              <w:t>due to a colleague’s absence</w:t>
            </w:r>
            <w:r>
              <w:rPr>
                <w:rFonts w:ascii="Arial" w:eastAsia="Times New Roman" w:hAnsi="Arial" w:cs="Arial"/>
              </w:rPr>
              <w:t>,</w:t>
            </w:r>
            <w:r w:rsidRPr="009C6D02">
              <w:rPr>
                <w:rFonts w:ascii="Arial" w:eastAsia="Times New Roman" w:hAnsi="Arial" w:cs="Arial"/>
              </w:rPr>
              <w:t xml:space="preserve"> leave</w:t>
            </w:r>
            <w:r>
              <w:rPr>
                <w:rFonts w:ascii="Arial" w:eastAsia="Times New Roman" w:hAnsi="Arial" w:cs="Arial"/>
              </w:rPr>
              <w:t>, or vacancy</w:t>
            </w:r>
            <w:r w:rsidRPr="009C6D02">
              <w:rPr>
                <w:rFonts w:ascii="Arial" w:eastAsia="Times New Roman" w:hAnsi="Arial" w:cs="Arial"/>
              </w:rPr>
              <w:t xml:space="preserve"> </w:t>
            </w:r>
          </w:p>
          <w:p w14:paraId="42279116" w14:textId="0BD271E7" w:rsidR="009C6D02" w:rsidRPr="009C6D02" w:rsidRDefault="009C6D02" w:rsidP="009C6D02">
            <w:pPr>
              <w:pStyle w:val="ListParagraph"/>
              <w:numPr>
                <w:ilvl w:val="0"/>
                <w:numId w:val="19"/>
              </w:numPr>
              <w:rPr>
                <w:rFonts w:ascii="Arial" w:eastAsia="Times New Roman" w:hAnsi="Arial" w:cs="Arial"/>
              </w:rPr>
            </w:pPr>
            <w:r w:rsidRPr="009C6D02">
              <w:rPr>
                <w:rFonts w:ascii="Arial" w:eastAsia="Times New Roman" w:hAnsi="Arial" w:cs="Arial"/>
              </w:rPr>
              <w:t xml:space="preserve">Managing a high-volume event or conference for the department </w:t>
            </w:r>
          </w:p>
          <w:p w14:paraId="02F5CFEA" w14:textId="6CCC8CD4" w:rsidR="009C6D02" w:rsidRPr="009C6D02" w:rsidRDefault="009C6D02" w:rsidP="009C6D02">
            <w:pPr>
              <w:pStyle w:val="ListParagraph"/>
              <w:numPr>
                <w:ilvl w:val="0"/>
                <w:numId w:val="19"/>
              </w:numPr>
              <w:rPr>
                <w:rFonts w:ascii="Arial" w:eastAsia="Times New Roman" w:hAnsi="Arial" w:cs="Arial"/>
              </w:rPr>
            </w:pPr>
            <w:r w:rsidRPr="009C6D02">
              <w:rPr>
                <w:rFonts w:ascii="Arial" w:eastAsia="Times New Roman" w:hAnsi="Arial" w:cs="Arial"/>
              </w:rPr>
              <w:t xml:space="preserve">Performing specialized duties, such as conducting training sessions or workshops, that </w:t>
            </w:r>
            <w:r w:rsidRPr="009C6D02">
              <w:rPr>
                <w:rFonts w:ascii="Arial" w:eastAsia="Times New Roman" w:hAnsi="Arial" w:cs="Arial"/>
              </w:rPr>
              <w:lastRenderedPageBreak/>
              <w:t xml:space="preserve">are not part of the employee’s regular responsibilities </w:t>
            </w:r>
          </w:p>
          <w:p w14:paraId="07036522" w14:textId="0DCF6D1F" w:rsidR="00CC322C" w:rsidRPr="009C6D02" w:rsidRDefault="009C6D02" w:rsidP="009C6D02">
            <w:pPr>
              <w:pStyle w:val="ListParagraph"/>
              <w:numPr>
                <w:ilvl w:val="0"/>
                <w:numId w:val="20"/>
              </w:numPr>
              <w:jc w:val="both"/>
              <w:rPr>
                <w:rFonts w:ascii="Arial" w:hAnsi="Arial" w:cs="Arial"/>
              </w:rPr>
            </w:pPr>
            <w:r w:rsidRPr="009C6D02">
              <w:rPr>
                <w:rFonts w:ascii="Arial" w:eastAsia="Times New Roman" w:hAnsi="Arial" w:cs="Arial"/>
              </w:rPr>
              <w:t>Coordinating or managing a major initiative or program that requires more time and effort than the employee’s usual workload</w:t>
            </w:r>
          </w:p>
        </w:tc>
      </w:tr>
      <w:tr w:rsidR="00B06D87" w14:paraId="46010455" w14:textId="77777777" w:rsidTr="00242265">
        <w:tc>
          <w:tcPr>
            <w:tcW w:w="4405" w:type="dxa"/>
          </w:tcPr>
          <w:p w14:paraId="31697FF5" w14:textId="426B01F3" w:rsidR="00B06D87" w:rsidRPr="00471A99" w:rsidRDefault="00B06D87" w:rsidP="00080746">
            <w:pPr>
              <w:jc w:val="both"/>
              <w:rPr>
                <w:rFonts w:ascii="Arial" w:hAnsi="Arial" w:cs="Arial"/>
                <w:b/>
                <w:bCs/>
              </w:rPr>
            </w:pPr>
            <w:r w:rsidRPr="00471A99">
              <w:rPr>
                <w:rFonts w:ascii="Arial" w:hAnsi="Arial" w:cs="Arial"/>
                <w:b/>
                <w:bCs/>
              </w:rPr>
              <w:lastRenderedPageBreak/>
              <w:t xml:space="preserve">Typically, </w:t>
            </w:r>
            <w:r w:rsidR="00471A99">
              <w:rPr>
                <w:rFonts w:ascii="Arial" w:hAnsi="Arial" w:cs="Arial"/>
                <w:b/>
                <w:bCs/>
              </w:rPr>
              <w:t>Overload P</w:t>
            </w:r>
            <w:r w:rsidRPr="00471A99">
              <w:rPr>
                <w:rFonts w:ascii="Arial" w:hAnsi="Arial" w:cs="Arial"/>
                <w:b/>
                <w:bCs/>
              </w:rPr>
              <w:t>ay</w:t>
            </w:r>
          </w:p>
        </w:tc>
        <w:tc>
          <w:tcPr>
            <w:tcW w:w="5665" w:type="dxa"/>
          </w:tcPr>
          <w:p w14:paraId="375EAC33" w14:textId="5DB78DDC" w:rsidR="00B06D87" w:rsidRPr="009C6D02" w:rsidRDefault="00535E95" w:rsidP="00471A99">
            <w:pPr>
              <w:rPr>
                <w:rFonts w:ascii="Arial" w:hAnsi="Arial" w:cs="Arial"/>
              </w:rPr>
            </w:pPr>
            <w:r>
              <w:rPr>
                <w:rFonts w:ascii="Arial" w:hAnsi="Arial" w:cs="Arial"/>
              </w:rPr>
              <w:t>I</w:t>
            </w:r>
            <w:r w:rsidRPr="00535E95">
              <w:rPr>
                <w:rFonts w:ascii="Arial" w:hAnsi="Arial" w:cs="Arial"/>
              </w:rPr>
              <w:t xml:space="preserve">s between 5% and </w:t>
            </w:r>
            <w:r w:rsidR="008F082E">
              <w:rPr>
                <w:rFonts w:ascii="Arial" w:hAnsi="Arial" w:cs="Arial"/>
              </w:rPr>
              <w:t>1</w:t>
            </w:r>
            <w:r w:rsidRPr="00535E95">
              <w:rPr>
                <w:rFonts w:ascii="Arial" w:hAnsi="Arial" w:cs="Arial"/>
              </w:rPr>
              <w:t xml:space="preserve">0% of the employee’s current base pay. When the employee is covering 50% of the duties of the position, a 5% interim pay would be appropriate. When the employee is covering 100% of the duties of the position, a 10% </w:t>
            </w:r>
            <w:r w:rsidR="00C433C0">
              <w:rPr>
                <w:rFonts w:ascii="Arial" w:hAnsi="Arial" w:cs="Arial"/>
              </w:rPr>
              <w:t>overload</w:t>
            </w:r>
            <w:r w:rsidRPr="00535E95">
              <w:rPr>
                <w:rFonts w:ascii="Arial" w:hAnsi="Arial" w:cs="Arial"/>
              </w:rPr>
              <w:t xml:space="preserve"> pay would be appropriate. </w:t>
            </w:r>
            <w:r w:rsidR="00F76D70">
              <w:rPr>
                <w:rFonts w:ascii="Arial" w:hAnsi="Arial" w:cs="Arial"/>
              </w:rPr>
              <w:t>(W</w:t>
            </w:r>
            <w:r w:rsidR="0081092B">
              <w:rPr>
                <w:rFonts w:ascii="Arial" w:hAnsi="Arial" w:cs="Arial"/>
              </w:rPr>
              <w:t>hich should</w:t>
            </w:r>
            <w:r w:rsidR="00F76D70">
              <w:rPr>
                <w:rFonts w:ascii="Arial" w:hAnsi="Arial" w:cs="Arial"/>
              </w:rPr>
              <w:t xml:space="preserve"> </w:t>
            </w:r>
            <w:r w:rsidR="00113F3C">
              <w:rPr>
                <w:rFonts w:ascii="Arial" w:hAnsi="Arial" w:cs="Arial"/>
              </w:rPr>
              <w:t>equate</w:t>
            </w:r>
            <w:r w:rsidR="00F76D70">
              <w:rPr>
                <w:rFonts w:ascii="Arial" w:hAnsi="Arial" w:cs="Arial"/>
              </w:rPr>
              <w:t xml:space="preserve"> into hours per week</w:t>
            </w:r>
            <w:r w:rsidR="0081092B">
              <w:rPr>
                <w:rFonts w:ascii="Arial" w:hAnsi="Arial" w:cs="Arial"/>
              </w:rPr>
              <w:t>)</w:t>
            </w:r>
            <w:r w:rsidR="00F76D70">
              <w:rPr>
                <w:rFonts w:ascii="Arial" w:hAnsi="Arial" w:cs="Arial"/>
              </w:rPr>
              <w:t xml:space="preserve">. </w:t>
            </w:r>
            <w:r w:rsidR="004868E7">
              <w:rPr>
                <w:rFonts w:ascii="Arial" w:hAnsi="Arial" w:cs="Arial"/>
              </w:rPr>
              <w:t xml:space="preserve">We will need </w:t>
            </w:r>
            <w:r w:rsidRPr="00535E95">
              <w:rPr>
                <w:rFonts w:ascii="Arial" w:hAnsi="Arial" w:cs="Arial"/>
              </w:rPr>
              <w:t>Compensation</w:t>
            </w:r>
            <w:r w:rsidR="004868E7">
              <w:rPr>
                <w:rFonts w:ascii="Arial" w:hAnsi="Arial" w:cs="Arial"/>
              </w:rPr>
              <w:t xml:space="preserve"> Department approval</w:t>
            </w:r>
            <w:r w:rsidRPr="00535E95">
              <w:rPr>
                <w:rFonts w:ascii="Arial" w:hAnsi="Arial" w:cs="Arial"/>
              </w:rPr>
              <w:t xml:space="preserve"> regarding any interim pay that exceeds 10%</w:t>
            </w:r>
            <w:r w:rsidR="00036B61">
              <w:rPr>
                <w:rFonts w:ascii="Arial" w:hAnsi="Arial" w:cs="Arial"/>
              </w:rPr>
              <w:t xml:space="preserve"> </w:t>
            </w:r>
            <w:r w:rsidR="00936DCD">
              <w:rPr>
                <w:rFonts w:ascii="Arial" w:hAnsi="Arial" w:cs="Arial"/>
              </w:rPr>
              <w:t>after approved by</w:t>
            </w:r>
            <w:r w:rsidR="00036B61">
              <w:rPr>
                <w:rFonts w:ascii="Arial" w:hAnsi="Arial" w:cs="Arial"/>
              </w:rPr>
              <w:t xml:space="preserve"> the Chief Administrative Officer</w:t>
            </w:r>
            <w:r w:rsidR="00295F92">
              <w:rPr>
                <w:rFonts w:ascii="Arial" w:hAnsi="Arial" w:cs="Arial"/>
              </w:rPr>
              <w:t>/Dean</w:t>
            </w:r>
            <w:r w:rsidRPr="00535E95">
              <w:rPr>
                <w:rFonts w:ascii="Arial" w:hAnsi="Arial" w:cs="Arial"/>
              </w:rPr>
              <w:t>.</w:t>
            </w:r>
            <w:r w:rsidR="00EF4EA3">
              <w:rPr>
                <w:rFonts w:ascii="Arial" w:hAnsi="Arial" w:cs="Arial"/>
              </w:rPr>
              <w:t xml:space="preserve"> </w:t>
            </w:r>
          </w:p>
        </w:tc>
      </w:tr>
      <w:tr w:rsidR="00080746" w14:paraId="0C979C05" w14:textId="77777777" w:rsidTr="00242265">
        <w:tc>
          <w:tcPr>
            <w:tcW w:w="4405" w:type="dxa"/>
          </w:tcPr>
          <w:p w14:paraId="1E870926" w14:textId="7C5FA8D2" w:rsidR="00080746" w:rsidRPr="00471A99" w:rsidRDefault="00080746" w:rsidP="00080746">
            <w:pPr>
              <w:jc w:val="both"/>
              <w:rPr>
                <w:rFonts w:ascii="Arial" w:hAnsi="Arial" w:cs="Arial"/>
                <w:b/>
                <w:bCs/>
              </w:rPr>
            </w:pPr>
            <w:hyperlink r:id="rId9" w:history="1">
              <w:r w:rsidRPr="00471A99">
                <w:rPr>
                  <w:rStyle w:val="Hyperlink"/>
                  <w:rFonts w:ascii="Arial" w:hAnsi="Arial" w:cs="Arial"/>
                  <w:b/>
                  <w:bCs/>
                </w:rPr>
                <w:t>HR Action Form</w:t>
              </w:r>
            </w:hyperlink>
          </w:p>
        </w:tc>
        <w:tc>
          <w:tcPr>
            <w:tcW w:w="5665" w:type="dxa"/>
          </w:tcPr>
          <w:p w14:paraId="3D76AB54" w14:textId="63042A99" w:rsidR="00080746" w:rsidRPr="003A0188" w:rsidRDefault="009C6D02" w:rsidP="009C6D02">
            <w:pPr>
              <w:rPr>
                <w:rFonts w:ascii="Arial" w:hAnsi="Arial" w:cs="Arial"/>
              </w:rPr>
            </w:pPr>
            <w:r w:rsidRPr="009C6D02">
              <w:rPr>
                <w:rFonts w:ascii="Arial" w:hAnsi="Arial" w:cs="Arial"/>
              </w:rPr>
              <w:t xml:space="preserve">The DocuSign template is used to obtain prior approval for the funding of the HR request listed above. </w:t>
            </w:r>
            <w:r w:rsidRPr="009C6D02">
              <w:rPr>
                <w:rFonts w:ascii="Arial" w:hAnsi="Arial" w:cs="Arial"/>
                <w:b/>
                <w:bCs/>
              </w:rPr>
              <w:t>Please note that approval of this form does not guarantee final approval for the HR request to be processed.</w:t>
            </w:r>
          </w:p>
        </w:tc>
      </w:tr>
    </w:tbl>
    <w:p w14:paraId="49990A18" w14:textId="77777777" w:rsidR="005C31B7" w:rsidRDefault="005C31B7" w:rsidP="000946E0">
      <w:pPr>
        <w:pBdr>
          <w:bottom w:val="single" w:sz="4" w:space="1" w:color="auto"/>
        </w:pBdr>
        <w:rPr>
          <w:rFonts w:ascii="Arial" w:hAnsi="Arial" w:cs="Arial"/>
          <w:b/>
          <w:sz w:val="24"/>
        </w:rPr>
      </w:pPr>
    </w:p>
    <w:p w14:paraId="1F36053B" w14:textId="77777777" w:rsidR="005C31B7" w:rsidRDefault="005C31B7" w:rsidP="000946E0">
      <w:pPr>
        <w:pBdr>
          <w:bottom w:val="single" w:sz="4" w:space="1" w:color="auto"/>
        </w:pBdr>
        <w:rPr>
          <w:rFonts w:ascii="Arial" w:hAnsi="Arial" w:cs="Arial"/>
          <w:b/>
          <w:sz w:val="24"/>
        </w:rPr>
      </w:pPr>
    </w:p>
    <w:p w14:paraId="45F314DD" w14:textId="0F25262B" w:rsidR="000946E0" w:rsidRPr="000946E0" w:rsidRDefault="000946E0" w:rsidP="000946E0">
      <w:pPr>
        <w:pBdr>
          <w:bottom w:val="single" w:sz="4" w:space="1" w:color="auto"/>
        </w:pBdr>
        <w:rPr>
          <w:rFonts w:ascii="Arial" w:hAnsi="Arial" w:cs="Arial"/>
          <w:b/>
          <w:sz w:val="24"/>
        </w:rPr>
      </w:pPr>
      <w:r>
        <w:rPr>
          <w:rFonts w:ascii="Arial" w:hAnsi="Arial" w:cs="Arial"/>
          <w:b/>
          <w:sz w:val="24"/>
        </w:rPr>
        <w:t>PROCEDURE</w:t>
      </w:r>
    </w:p>
    <w:p w14:paraId="387CA186" w14:textId="00A722D4" w:rsidR="009C6D02" w:rsidRPr="009C6D02" w:rsidRDefault="009C6D02" w:rsidP="009C6D02">
      <w:pPr>
        <w:rPr>
          <w:rFonts w:ascii="Arial" w:hAnsi="Arial" w:cs="Arial"/>
        </w:rPr>
      </w:pPr>
      <w:r w:rsidRPr="009C6D02">
        <w:rPr>
          <w:rFonts w:ascii="Arial" w:hAnsi="Arial" w:cs="Arial"/>
        </w:rPr>
        <w:t xml:space="preserve">Once it is determined that a staff overload is needed, the first step—after consulting with your Department HR Consultant (HRC)—is to complete the </w:t>
      </w:r>
      <w:hyperlink r:id="rId10" w:history="1">
        <w:r w:rsidRPr="00921754">
          <w:rPr>
            <w:rStyle w:val="Hyperlink"/>
            <w:rFonts w:ascii="Arial" w:hAnsi="Arial" w:cs="Arial"/>
          </w:rPr>
          <w:t>HR Action Form via DocuSign</w:t>
        </w:r>
      </w:hyperlink>
      <w:r w:rsidRPr="009C6D02">
        <w:rPr>
          <w:rFonts w:ascii="Arial" w:hAnsi="Arial" w:cs="Arial"/>
        </w:rPr>
        <w:t>. This will allow you to obtain all required financial approvals from the individuals responsible for reviewing and approving such requests within your department</w:t>
      </w:r>
      <w:r w:rsidR="009619BC">
        <w:rPr>
          <w:rFonts w:ascii="Arial" w:hAnsi="Arial" w:cs="Arial"/>
        </w:rPr>
        <w:t xml:space="preserve"> or unit</w:t>
      </w:r>
      <w:r w:rsidRPr="009C6D02">
        <w:rPr>
          <w:rFonts w:ascii="Arial" w:hAnsi="Arial" w:cs="Arial"/>
        </w:rPr>
        <w:t>. Since not everyone has access to all documentation in Workday, and documents cannot be attached for all requests, it is essential to track approvals and funding prior to processing to ensure compliance with all policies and procedures.</w:t>
      </w:r>
    </w:p>
    <w:p w14:paraId="57F5450E" w14:textId="77777777" w:rsidR="00E56887" w:rsidRDefault="00E56887" w:rsidP="009C6D02">
      <w:pPr>
        <w:rPr>
          <w:rFonts w:ascii="Arial" w:hAnsi="Arial" w:cs="Arial"/>
        </w:rPr>
      </w:pPr>
    </w:p>
    <w:p w14:paraId="287808A2" w14:textId="77777777" w:rsidR="001F3B74" w:rsidRPr="001F3B74" w:rsidRDefault="003F1F29" w:rsidP="004D7573">
      <w:pPr>
        <w:rPr>
          <w:rFonts w:ascii="Arial" w:hAnsi="Arial" w:cs="Arial"/>
          <w:u w:val="single"/>
        </w:rPr>
      </w:pPr>
      <w:r w:rsidRPr="003F1F29">
        <w:rPr>
          <w:rFonts w:ascii="Arial" w:hAnsi="Arial" w:cs="Arial"/>
        </w:rPr>
        <w:t xml:space="preserve">Staff members must disclose if they are currently receiving an overload from another department. </w:t>
      </w:r>
      <w:r w:rsidRPr="001F3B74">
        <w:rPr>
          <w:rFonts w:ascii="Arial" w:hAnsi="Arial" w:cs="Arial"/>
          <w:u w:val="single"/>
        </w:rPr>
        <w:t xml:space="preserve">All necessary approvals for the additional work and overload pay must be obtained before the staff member performs the additional duties or receives the overload pay. </w:t>
      </w:r>
    </w:p>
    <w:p w14:paraId="51FB347A" w14:textId="77777777" w:rsidR="001F3B74" w:rsidRDefault="001F3B74" w:rsidP="004D7573">
      <w:pPr>
        <w:rPr>
          <w:rFonts w:ascii="Arial" w:hAnsi="Arial" w:cs="Arial"/>
          <w:b/>
          <w:bCs/>
        </w:rPr>
      </w:pPr>
    </w:p>
    <w:p w14:paraId="4400F3C1" w14:textId="4A550E64" w:rsidR="00880432" w:rsidRPr="003F1F29" w:rsidRDefault="001F3B74" w:rsidP="004D7573">
      <w:pPr>
        <w:rPr>
          <w:rFonts w:ascii="Arial" w:hAnsi="Arial" w:cs="Arial"/>
          <w:b/>
          <w:bCs/>
        </w:rPr>
      </w:pPr>
      <w:r>
        <w:rPr>
          <w:rFonts w:ascii="Arial" w:hAnsi="Arial" w:cs="Arial"/>
          <w:b/>
          <w:bCs/>
        </w:rPr>
        <w:t>***</w:t>
      </w:r>
      <w:r w:rsidR="003F1F29" w:rsidRPr="003F1F29">
        <w:rPr>
          <w:rFonts w:ascii="Arial" w:hAnsi="Arial" w:cs="Arial"/>
          <w:b/>
          <w:bCs/>
        </w:rPr>
        <w:t>Overload pay does not determine the amount of increase if overload duties are added to an employee’s permanent responsibilities.</w:t>
      </w:r>
    </w:p>
    <w:p w14:paraId="7481CF38" w14:textId="77777777" w:rsidR="00023391" w:rsidRDefault="00023391" w:rsidP="00595683">
      <w:pPr>
        <w:pBdr>
          <w:bottom w:val="single" w:sz="2" w:space="1" w:color="auto"/>
        </w:pBdr>
        <w:rPr>
          <w:rFonts w:ascii="Arial" w:hAnsi="Arial" w:cs="Arial"/>
          <w:b/>
          <w:sz w:val="24"/>
          <w:szCs w:val="24"/>
        </w:rPr>
      </w:pPr>
    </w:p>
    <w:p w14:paraId="45F314E9" w14:textId="2A6B6155" w:rsidR="00595683" w:rsidRPr="0016018B" w:rsidRDefault="00595683" w:rsidP="00595683">
      <w:pPr>
        <w:pBdr>
          <w:bottom w:val="single" w:sz="2" w:space="1" w:color="auto"/>
        </w:pBdr>
        <w:rPr>
          <w:rFonts w:ascii="Arial" w:hAnsi="Arial" w:cs="Arial"/>
          <w:b/>
          <w:sz w:val="24"/>
          <w:szCs w:val="24"/>
        </w:rPr>
      </w:pPr>
      <w:r>
        <w:rPr>
          <w:rFonts w:ascii="Arial" w:hAnsi="Arial" w:cs="Arial"/>
          <w:b/>
          <w:sz w:val="24"/>
          <w:szCs w:val="24"/>
        </w:rPr>
        <w:t>ROLES AND RESPONSIBILITIES</w:t>
      </w:r>
    </w:p>
    <w:tbl>
      <w:tblPr>
        <w:tblStyle w:val="TableGrid"/>
        <w:tblW w:w="0" w:type="auto"/>
        <w:tblLook w:val="04A0" w:firstRow="1" w:lastRow="0" w:firstColumn="1" w:lastColumn="0" w:noHBand="0" w:noVBand="1"/>
      </w:tblPr>
      <w:tblGrid>
        <w:gridCol w:w="2065"/>
        <w:gridCol w:w="8005"/>
      </w:tblGrid>
      <w:tr w:rsidR="009C51C0" w14:paraId="45F314ED" w14:textId="77777777" w:rsidTr="00EA5F9B">
        <w:trPr>
          <w:trHeight w:val="288"/>
        </w:trPr>
        <w:tc>
          <w:tcPr>
            <w:tcW w:w="2065" w:type="dxa"/>
            <w:shd w:val="clear" w:color="auto" w:fill="BB0000"/>
            <w:vAlign w:val="center"/>
          </w:tcPr>
          <w:p w14:paraId="45F314EB" w14:textId="77777777" w:rsidR="009C51C0" w:rsidRDefault="009C51C0" w:rsidP="009C51C0">
            <w:pPr>
              <w:rPr>
                <w:rFonts w:ascii="Arial" w:hAnsi="Arial" w:cs="Arial"/>
              </w:rPr>
            </w:pPr>
            <w:r>
              <w:rPr>
                <w:rFonts w:ascii="Arial" w:hAnsi="Arial" w:cs="Arial"/>
              </w:rPr>
              <w:t>Role</w:t>
            </w:r>
          </w:p>
        </w:tc>
        <w:tc>
          <w:tcPr>
            <w:tcW w:w="8005" w:type="dxa"/>
            <w:shd w:val="clear" w:color="auto" w:fill="BB0000"/>
            <w:vAlign w:val="center"/>
          </w:tcPr>
          <w:p w14:paraId="45F314EC" w14:textId="77777777" w:rsidR="009C51C0" w:rsidRPr="009C51C0" w:rsidRDefault="009C51C0" w:rsidP="009C51C0">
            <w:pPr>
              <w:rPr>
                <w:rFonts w:ascii="Arial" w:hAnsi="Arial" w:cs="Arial"/>
              </w:rPr>
            </w:pPr>
            <w:r>
              <w:rPr>
                <w:rFonts w:ascii="Arial" w:hAnsi="Arial" w:cs="Arial"/>
              </w:rPr>
              <w:t>Responsibilities</w:t>
            </w:r>
          </w:p>
        </w:tc>
      </w:tr>
      <w:tr w:rsidR="00595683" w14:paraId="45F314F1" w14:textId="77777777" w:rsidTr="00EA5F9B">
        <w:trPr>
          <w:trHeight w:val="720"/>
        </w:trPr>
        <w:tc>
          <w:tcPr>
            <w:tcW w:w="2065" w:type="dxa"/>
            <w:vAlign w:val="center"/>
          </w:tcPr>
          <w:p w14:paraId="45F314EE" w14:textId="5E397204" w:rsidR="00595683" w:rsidRDefault="00B0264D" w:rsidP="009C51C0">
            <w:pPr>
              <w:rPr>
                <w:rFonts w:ascii="Arial" w:hAnsi="Arial" w:cs="Arial"/>
              </w:rPr>
            </w:pPr>
            <w:r>
              <w:rPr>
                <w:rFonts w:ascii="Arial" w:hAnsi="Arial" w:cs="Arial"/>
              </w:rPr>
              <w:t>Manager</w:t>
            </w:r>
            <w:r w:rsidR="00031DEB">
              <w:rPr>
                <w:rFonts w:ascii="Arial" w:hAnsi="Arial" w:cs="Arial"/>
              </w:rPr>
              <w:t xml:space="preserve"> </w:t>
            </w:r>
          </w:p>
        </w:tc>
        <w:tc>
          <w:tcPr>
            <w:tcW w:w="8005" w:type="dxa"/>
            <w:vAlign w:val="center"/>
          </w:tcPr>
          <w:p w14:paraId="01270237" w14:textId="77777777" w:rsidR="009D7E37" w:rsidRPr="009D7E37" w:rsidRDefault="009D7E37" w:rsidP="00E43F9D">
            <w:pPr>
              <w:pStyle w:val="ListParagraph"/>
              <w:numPr>
                <w:ilvl w:val="0"/>
                <w:numId w:val="20"/>
              </w:numPr>
              <w:rPr>
                <w:rFonts w:ascii="Arial" w:hAnsi="Arial" w:cs="Arial"/>
              </w:rPr>
            </w:pPr>
            <w:r w:rsidRPr="009D7E37">
              <w:rPr>
                <w:rFonts w:ascii="Arial" w:hAnsi="Arial" w:cs="Arial"/>
              </w:rPr>
              <w:t>Meets with their Department HR Consultant (HRC) to identify and discuss the staff overload that needs to be processed.</w:t>
            </w:r>
          </w:p>
          <w:p w14:paraId="6BBBDED0" w14:textId="77777777" w:rsidR="009D7E37" w:rsidRPr="009D7E37" w:rsidRDefault="009D7E37" w:rsidP="00E43F9D">
            <w:pPr>
              <w:pStyle w:val="ListParagraph"/>
              <w:numPr>
                <w:ilvl w:val="0"/>
                <w:numId w:val="20"/>
              </w:numPr>
              <w:rPr>
                <w:rFonts w:ascii="Arial" w:hAnsi="Arial" w:cs="Arial"/>
              </w:rPr>
            </w:pPr>
            <w:r w:rsidRPr="009D7E37">
              <w:rPr>
                <w:rFonts w:ascii="Arial" w:hAnsi="Arial" w:cs="Arial"/>
              </w:rPr>
              <w:t>Provides justification and details of the request to be included in the completion of the HR Action Form.</w:t>
            </w:r>
          </w:p>
          <w:p w14:paraId="45F314F0" w14:textId="0F69DFD0" w:rsidR="002D2D06" w:rsidRPr="00E43F9D" w:rsidRDefault="009D7E37" w:rsidP="00E43F9D">
            <w:pPr>
              <w:pStyle w:val="ListParagraph"/>
              <w:numPr>
                <w:ilvl w:val="0"/>
                <w:numId w:val="20"/>
              </w:numPr>
              <w:rPr>
                <w:rFonts w:ascii="Arial" w:hAnsi="Arial" w:cs="Arial"/>
              </w:rPr>
            </w:pPr>
            <w:r w:rsidRPr="009D7E37">
              <w:rPr>
                <w:rFonts w:ascii="Arial" w:hAnsi="Arial" w:cs="Arial"/>
              </w:rPr>
              <w:t>Prepares a strategy to incorporate the overload duties permanently within 90 days to avoid continued overload payments.</w:t>
            </w:r>
          </w:p>
        </w:tc>
      </w:tr>
      <w:tr w:rsidR="00031DEB" w14:paraId="45F314F8" w14:textId="77777777" w:rsidTr="00EA5F9B">
        <w:trPr>
          <w:trHeight w:val="720"/>
        </w:trPr>
        <w:tc>
          <w:tcPr>
            <w:tcW w:w="2065" w:type="dxa"/>
            <w:vAlign w:val="center"/>
          </w:tcPr>
          <w:p w14:paraId="45F314F6" w14:textId="001A2204" w:rsidR="00031DEB" w:rsidRDefault="00BB459E" w:rsidP="00031DEB">
            <w:pPr>
              <w:rPr>
                <w:rFonts w:ascii="Arial" w:hAnsi="Arial" w:cs="Arial"/>
              </w:rPr>
            </w:pPr>
            <w:r>
              <w:rPr>
                <w:rFonts w:ascii="Arial" w:hAnsi="Arial" w:cs="Arial"/>
              </w:rPr>
              <w:t>HRC &amp; HR Business Partner (HRBP)</w:t>
            </w:r>
          </w:p>
        </w:tc>
        <w:tc>
          <w:tcPr>
            <w:tcW w:w="8005" w:type="dxa"/>
            <w:tcBorders>
              <w:bottom w:val="single" w:sz="4" w:space="0" w:color="auto"/>
            </w:tcBorders>
            <w:vAlign w:val="center"/>
          </w:tcPr>
          <w:p w14:paraId="77A93F7D" w14:textId="52B02EA3" w:rsidR="009D7E37" w:rsidRDefault="001931A3" w:rsidP="009D7E37">
            <w:pPr>
              <w:pStyle w:val="ListParagraph"/>
              <w:numPr>
                <w:ilvl w:val="0"/>
                <w:numId w:val="21"/>
              </w:numPr>
              <w:rPr>
                <w:rFonts w:ascii="Arial" w:hAnsi="Arial" w:cs="Arial"/>
              </w:rPr>
            </w:pPr>
            <w:r>
              <w:rPr>
                <w:rFonts w:ascii="Arial" w:hAnsi="Arial" w:cs="Arial"/>
              </w:rPr>
              <w:t>HRC s</w:t>
            </w:r>
            <w:r w:rsidR="009D7E37">
              <w:rPr>
                <w:rFonts w:ascii="Arial" w:hAnsi="Arial" w:cs="Arial"/>
              </w:rPr>
              <w:t xml:space="preserve">ends the overload request to the </w:t>
            </w:r>
            <w:r w:rsidR="00740273" w:rsidRPr="009D7E37">
              <w:rPr>
                <w:rFonts w:ascii="Arial" w:hAnsi="Arial" w:cs="Arial"/>
              </w:rPr>
              <w:t xml:space="preserve">HRBP for </w:t>
            </w:r>
            <w:r w:rsidR="009D7E37">
              <w:rPr>
                <w:rFonts w:ascii="Arial" w:hAnsi="Arial" w:cs="Arial"/>
              </w:rPr>
              <w:t xml:space="preserve">review and </w:t>
            </w:r>
            <w:r w:rsidR="00740273" w:rsidRPr="009D7E37">
              <w:rPr>
                <w:rFonts w:ascii="Arial" w:hAnsi="Arial" w:cs="Arial"/>
              </w:rPr>
              <w:t xml:space="preserve">approval </w:t>
            </w:r>
          </w:p>
          <w:p w14:paraId="7126BCF7" w14:textId="2B19CBB2" w:rsidR="009D7E37" w:rsidRDefault="00F150C9" w:rsidP="009D7E37">
            <w:pPr>
              <w:pStyle w:val="ListParagraph"/>
              <w:numPr>
                <w:ilvl w:val="0"/>
                <w:numId w:val="21"/>
              </w:numPr>
              <w:rPr>
                <w:rFonts w:ascii="Arial" w:hAnsi="Arial" w:cs="Arial"/>
              </w:rPr>
            </w:pPr>
            <w:r w:rsidRPr="009D7E37">
              <w:rPr>
                <w:rFonts w:ascii="Arial" w:hAnsi="Arial" w:cs="Arial"/>
              </w:rPr>
              <w:t>HRC will provide</w:t>
            </w:r>
            <w:r w:rsidR="000E31F3">
              <w:rPr>
                <w:rFonts w:ascii="Arial" w:hAnsi="Arial" w:cs="Arial"/>
              </w:rPr>
              <w:t>s</w:t>
            </w:r>
            <w:r w:rsidRPr="009D7E37">
              <w:rPr>
                <w:rFonts w:ascii="Arial" w:hAnsi="Arial" w:cs="Arial"/>
              </w:rPr>
              <w:t xml:space="preserve"> the DocuSign link to </w:t>
            </w:r>
            <w:r w:rsidR="009D7E37">
              <w:rPr>
                <w:rFonts w:ascii="Arial" w:hAnsi="Arial" w:cs="Arial"/>
              </w:rPr>
              <w:t xml:space="preserve">manager to </w:t>
            </w:r>
            <w:r w:rsidRPr="009D7E37">
              <w:rPr>
                <w:rFonts w:ascii="Arial" w:hAnsi="Arial" w:cs="Arial"/>
              </w:rPr>
              <w:t xml:space="preserve">initiate </w:t>
            </w:r>
            <w:r w:rsidR="009D7E37">
              <w:rPr>
                <w:rFonts w:ascii="Arial" w:hAnsi="Arial" w:cs="Arial"/>
              </w:rPr>
              <w:t xml:space="preserve">overload request. </w:t>
            </w:r>
          </w:p>
          <w:p w14:paraId="45F314F7" w14:textId="05EABFC9" w:rsidR="00031DEB" w:rsidRPr="000E31F3" w:rsidRDefault="000E31F3" w:rsidP="000E31F3">
            <w:pPr>
              <w:pStyle w:val="ListParagraph"/>
              <w:numPr>
                <w:ilvl w:val="0"/>
                <w:numId w:val="21"/>
              </w:numPr>
              <w:rPr>
                <w:rFonts w:ascii="Arial" w:hAnsi="Arial" w:cs="Arial"/>
              </w:rPr>
            </w:pPr>
            <w:r>
              <w:rPr>
                <w:rFonts w:ascii="Arial" w:hAnsi="Arial" w:cs="Arial"/>
              </w:rPr>
              <w:lastRenderedPageBreak/>
              <w:t>E</w:t>
            </w:r>
            <w:r w:rsidR="00F150C9" w:rsidRPr="009D7E37">
              <w:rPr>
                <w:rFonts w:ascii="Arial" w:hAnsi="Arial" w:cs="Arial"/>
              </w:rPr>
              <w:t>nsur</w:t>
            </w:r>
            <w:r>
              <w:rPr>
                <w:rFonts w:ascii="Arial" w:hAnsi="Arial" w:cs="Arial"/>
              </w:rPr>
              <w:t>es</w:t>
            </w:r>
            <w:r w:rsidR="00F150C9" w:rsidRPr="009D7E37">
              <w:rPr>
                <w:rFonts w:ascii="Arial" w:hAnsi="Arial" w:cs="Arial"/>
              </w:rPr>
              <w:t xml:space="preserve"> that all required information is provided and complies with policy and regulations. </w:t>
            </w:r>
          </w:p>
        </w:tc>
      </w:tr>
      <w:tr w:rsidR="00835CA2" w14:paraId="7DCC5A37" w14:textId="77777777" w:rsidTr="00EA5F9B">
        <w:trPr>
          <w:trHeight w:val="953"/>
        </w:trPr>
        <w:tc>
          <w:tcPr>
            <w:tcW w:w="2065" w:type="dxa"/>
            <w:vAlign w:val="center"/>
          </w:tcPr>
          <w:p w14:paraId="185D2E98" w14:textId="5EDB7E26" w:rsidR="00835CA2" w:rsidRDefault="00835CA2" w:rsidP="00031DEB">
            <w:pPr>
              <w:rPr>
                <w:rFonts w:ascii="Arial" w:hAnsi="Arial" w:cs="Arial"/>
              </w:rPr>
            </w:pPr>
            <w:r>
              <w:rPr>
                <w:rFonts w:ascii="Arial" w:hAnsi="Arial" w:cs="Arial"/>
              </w:rPr>
              <w:lastRenderedPageBreak/>
              <w:t xml:space="preserve">HR </w:t>
            </w:r>
            <w:r w:rsidR="000E31F3">
              <w:rPr>
                <w:rFonts w:ascii="Arial" w:hAnsi="Arial" w:cs="Arial"/>
              </w:rPr>
              <w:t>Specialist (HRS)</w:t>
            </w:r>
          </w:p>
        </w:tc>
        <w:tc>
          <w:tcPr>
            <w:tcW w:w="8005" w:type="dxa"/>
            <w:tcBorders>
              <w:bottom w:val="single" w:sz="4" w:space="0" w:color="auto"/>
            </w:tcBorders>
            <w:vAlign w:val="center"/>
          </w:tcPr>
          <w:p w14:paraId="15F34893" w14:textId="5F553A67" w:rsidR="000E31F3" w:rsidRDefault="000E31F3" w:rsidP="000E31F3">
            <w:pPr>
              <w:pStyle w:val="ListParagraph"/>
              <w:numPr>
                <w:ilvl w:val="0"/>
                <w:numId w:val="22"/>
              </w:numPr>
              <w:rPr>
                <w:rFonts w:ascii="Arial" w:hAnsi="Arial" w:cs="Arial"/>
              </w:rPr>
            </w:pPr>
            <w:r w:rsidRPr="000E31F3">
              <w:rPr>
                <w:rFonts w:ascii="Arial" w:hAnsi="Arial" w:cs="Arial"/>
              </w:rPr>
              <w:t xml:space="preserve">Once </w:t>
            </w:r>
            <w:r>
              <w:rPr>
                <w:rFonts w:ascii="Arial" w:hAnsi="Arial" w:cs="Arial"/>
              </w:rPr>
              <w:t>HR</w:t>
            </w:r>
            <w:r w:rsidR="001931A3">
              <w:rPr>
                <w:rFonts w:ascii="Arial" w:hAnsi="Arial" w:cs="Arial"/>
              </w:rPr>
              <w:t xml:space="preserve"> </w:t>
            </w:r>
            <w:r>
              <w:rPr>
                <w:rFonts w:ascii="Arial" w:hAnsi="Arial" w:cs="Arial"/>
              </w:rPr>
              <w:t>A</w:t>
            </w:r>
            <w:r w:rsidR="001931A3">
              <w:rPr>
                <w:rFonts w:ascii="Arial" w:hAnsi="Arial" w:cs="Arial"/>
              </w:rPr>
              <w:t>ction</w:t>
            </w:r>
            <w:r w:rsidR="00C72E60">
              <w:rPr>
                <w:rFonts w:ascii="Arial" w:hAnsi="Arial" w:cs="Arial"/>
              </w:rPr>
              <w:t xml:space="preserve"> form</w:t>
            </w:r>
            <w:r>
              <w:rPr>
                <w:rFonts w:ascii="Arial" w:hAnsi="Arial" w:cs="Arial"/>
              </w:rPr>
              <w:t xml:space="preserve"> is reviewed and approved with all signatures the HRS </w:t>
            </w:r>
            <w:r w:rsidRPr="000E31F3">
              <w:rPr>
                <w:rFonts w:ascii="Arial" w:hAnsi="Arial" w:cs="Arial"/>
              </w:rPr>
              <w:t xml:space="preserve">will process the request in Workday. </w:t>
            </w:r>
          </w:p>
          <w:p w14:paraId="49D14EE4" w14:textId="315F398D" w:rsidR="00835CA2" w:rsidRPr="000E31F3" w:rsidRDefault="000E31F3" w:rsidP="000E31F3">
            <w:pPr>
              <w:pStyle w:val="ListParagraph"/>
              <w:numPr>
                <w:ilvl w:val="0"/>
                <w:numId w:val="22"/>
              </w:numPr>
              <w:rPr>
                <w:rFonts w:ascii="Arial" w:hAnsi="Arial" w:cs="Arial"/>
              </w:rPr>
            </w:pPr>
            <w:r w:rsidRPr="000E31F3">
              <w:rPr>
                <w:rFonts w:ascii="Arial" w:hAnsi="Arial" w:cs="Arial"/>
              </w:rPr>
              <w:t xml:space="preserve">For </w:t>
            </w:r>
            <w:r>
              <w:rPr>
                <w:rFonts w:ascii="Arial" w:hAnsi="Arial" w:cs="Arial"/>
              </w:rPr>
              <w:t xml:space="preserve">overload </w:t>
            </w:r>
            <w:r w:rsidRPr="000E31F3">
              <w:rPr>
                <w:rFonts w:ascii="Arial" w:hAnsi="Arial" w:cs="Arial"/>
              </w:rPr>
              <w:t>requests supported by funding</w:t>
            </w:r>
            <w:r>
              <w:rPr>
                <w:rFonts w:ascii="Arial" w:hAnsi="Arial" w:cs="Arial"/>
              </w:rPr>
              <w:t xml:space="preserve"> outside of EHE</w:t>
            </w:r>
            <w:r w:rsidRPr="000E31F3">
              <w:rPr>
                <w:rFonts w:ascii="Arial" w:hAnsi="Arial" w:cs="Arial"/>
              </w:rPr>
              <w:t xml:space="preserve">, </w:t>
            </w:r>
            <w:r>
              <w:rPr>
                <w:rFonts w:ascii="Arial" w:hAnsi="Arial" w:cs="Arial"/>
              </w:rPr>
              <w:t xml:space="preserve">the </w:t>
            </w:r>
            <w:r w:rsidRPr="000E31F3">
              <w:rPr>
                <w:rFonts w:ascii="Arial" w:hAnsi="Arial" w:cs="Arial"/>
              </w:rPr>
              <w:t>HR</w:t>
            </w:r>
            <w:r>
              <w:rPr>
                <w:rFonts w:ascii="Arial" w:hAnsi="Arial" w:cs="Arial"/>
              </w:rPr>
              <w:t>S</w:t>
            </w:r>
            <w:r w:rsidRPr="000E31F3">
              <w:rPr>
                <w:rFonts w:ascii="Arial" w:hAnsi="Arial" w:cs="Arial"/>
              </w:rPr>
              <w:t xml:space="preserve"> will </w:t>
            </w:r>
            <w:r>
              <w:rPr>
                <w:rFonts w:ascii="Arial" w:hAnsi="Arial" w:cs="Arial"/>
              </w:rPr>
              <w:t xml:space="preserve">provide a copy </w:t>
            </w:r>
            <w:r w:rsidR="00286890">
              <w:rPr>
                <w:rFonts w:ascii="Arial" w:hAnsi="Arial" w:cs="Arial"/>
              </w:rPr>
              <w:t xml:space="preserve">of the request </w:t>
            </w:r>
            <w:r>
              <w:rPr>
                <w:rFonts w:ascii="Arial" w:hAnsi="Arial" w:cs="Arial"/>
              </w:rPr>
              <w:t xml:space="preserve">to </w:t>
            </w:r>
            <w:r w:rsidRPr="000E31F3">
              <w:rPr>
                <w:rFonts w:ascii="Arial" w:hAnsi="Arial" w:cs="Arial"/>
              </w:rPr>
              <w:t>the EHE Cost Center Manager</w:t>
            </w:r>
            <w:r>
              <w:rPr>
                <w:rFonts w:ascii="Arial" w:hAnsi="Arial" w:cs="Arial"/>
              </w:rPr>
              <w:t xml:space="preserve">. </w:t>
            </w:r>
          </w:p>
        </w:tc>
      </w:tr>
      <w:tr w:rsidR="008E6DF8" w14:paraId="456894DD" w14:textId="77777777" w:rsidTr="00EA5F9B">
        <w:trPr>
          <w:trHeight w:val="720"/>
        </w:trPr>
        <w:tc>
          <w:tcPr>
            <w:tcW w:w="2065" w:type="dxa"/>
            <w:vAlign w:val="center"/>
          </w:tcPr>
          <w:p w14:paraId="795BE5DB" w14:textId="35EE728F" w:rsidR="008E6DF8" w:rsidRDefault="00EA5F9B" w:rsidP="008E6DF8">
            <w:pPr>
              <w:rPr>
                <w:rFonts w:ascii="Arial" w:hAnsi="Arial" w:cs="Arial"/>
              </w:rPr>
            </w:pPr>
            <w:r>
              <w:rPr>
                <w:rFonts w:ascii="Arial" w:hAnsi="Arial" w:cs="Arial"/>
              </w:rPr>
              <w:t xml:space="preserve">Chief Administrative </w:t>
            </w:r>
            <w:r w:rsidR="008E6DF8">
              <w:rPr>
                <w:rFonts w:ascii="Arial" w:hAnsi="Arial" w:cs="Arial"/>
              </w:rPr>
              <w:t>O</w:t>
            </w:r>
            <w:r>
              <w:rPr>
                <w:rFonts w:ascii="Arial" w:hAnsi="Arial" w:cs="Arial"/>
              </w:rPr>
              <w:t>fficer</w:t>
            </w:r>
            <w:r w:rsidR="007E54A8">
              <w:rPr>
                <w:rFonts w:ascii="Arial" w:hAnsi="Arial" w:cs="Arial"/>
              </w:rPr>
              <w:t xml:space="preserve"> (CAO)</w:t>
            </w:r>
            <w:r w:rsidR="008E6DF8">
              <w:rPr>
                <w:rFonts w:ascii="Arial" w:hAnsi="Arial" w:cs="Arial"/>
              </w:rPr>
              <w:t xml:space="preserve">/Dean </w:t>
            </w:r>
          </w:p>
        </w:tc>
        <w:tc>
          <w:tcPr>
            <w:tcW w:w="8005" w:type="dxa"/>
            <w:vAlign w:val="center"/>
          </w:tcPr>
          <w:p w14:paraId="558E0BD4" w14:textId="35849977" w:rsidR="008E6DF8" w:rsidRPr="00EA5F9B" w:rsidRDefault="0053143A" w:rsidP="00EA5F9B">
            <w:pPr>
              <w:pStyle w:val="ListParagraph"/>
              <w:numPr>
                <w:ilvl w:val="0"/>
                <w:numId w:val="23"/>
              </w:numPr>
              <w:rPr>
                <w:rFonts w:ascii="Arial" w:hAnsi="Arial" w:cs="Arial"/>
              </w:rPr>
            </w:pPr>
            <w:r w:rsidRPr="00EA5F9B">
              <w:rPr>
                <w:rFonts w:ascii="Arial" w:hAnsi="Arial" w:cs="Arial"/>
              </w:rPr>
              <w:t xml:space="preserve">Reviews and approves all requests </w:t>
            </w:r>
            <w:r w:rsidR="000E31F3" w:rsidRPr="00EA5F9B">
              <w:rPr>
                <w:rFonts w:ascii="Arial" w:hAnsi="Arial" w:cs="Arial"/>
              </w:rPr>
              <w:t xml:space="preserve">that </w:t>
            </w:r>
            <w:r w:rsidRPr="00EA5F9B">
              <w:rPr>
                <w:rFonts w:ascii="Arial" w:hAnsi="Arial" w:cs="Arial"/>
              </w:rPr>
              <w:t xml:space="preserve">exceed the </w:t>
            </w:r>
            <w:r w:rsidR="000E31F3" w:rsidRPr="00EA5F9B">
              <w:rPr>
                <w:rFonts w:ascii="Arial" w:hAnsi="Arial" w:cs="Arial"/>
              </w:rPr>
              <w:t>overload maximum of 10%</w:t>
            </w:r>
            <w:r w:rsidRPr="00EA5F9B">
              <w:rPr>
                <w:rFonts w:ascii="Arial" w:hAnsi="Arial" w:cs="Arial"/>
              </w:rPr>
              <w:t>.</w:t>
            </w:r>
          </w:p>
        </w:tc>
      </w:tr>
      <w:tr w:rsidR="007E54A8" w14:paraId="108E4C25" w14:textId="77777777" w:rsidTr="00EA5F9B">
        <w:trPr>
          <w:trHeight w:val="720"/>
        </w:trPr>
        <w:tc>
          <w:tcPr>
            <w:tcW w:w="2065" w:type="dxa"/>
            <w:vAlign w:val="center"/>
          </w:tcPr>
          <w:p w14:paraId="183E3C9C" w14:textId="7F9732BF" w:rsidR="007E54A8" w:rsidRDefault="007E54A8" w:rsidP="008E6DF8">
            <w:pPr>
              <w:rPr>
                <w:rFonts w:ascii="Arial" w:hAnsi="Arial" w:cs="Arial"/>
              </w:rPr>
            </w:pPr>
            <w:r>
              <w:rPr>
                <w:rFonts w:ascii="Arial" w:hAnsi="Arial" w:cs="Arial"/>
              </w:rPr>
              <w:t>Office of Compensation</w:t>
            </w:r>
          </w:p>
        </w:tc>
        <w:tc>
          <w:tcPr>
            <w:tcW w:w="8005" w:type="dxa"/>
            <w:vAlign w:val="center"/>
          </w:tcPr>
          <w:p w14:paraId="26A7DB21" w14:textId="22AC7686" w:rsidR="007E54A8" w:rsidRPr="00EA5F9B" w:rsidRDefault="007E54A8" w:rsidP="00EA5F9B">
            <w:pPr>
              <w:pStyle w:val="ListParagraph"/>
              <w:numPr>
                <w:ilvl w:val="0"/>
                <w:numId w:val="23"/>
              </w:numPr>
              <w:rPr>
                <w:rFonts w:ascii="Arial" w:hAnsi="Arial" w:cs="Arial"/>
              </w:rPr>
            </w:pPr>
            <w:r>
              <w:rPr>
                <w:rFonts w:ascii="Arial" w:hAnsi="Arial" w:cs="Arial"/>
              </w:rPr>
              <w:t>Reviews and approves all request that exceed the overload maximum</w:t>
            </w:r>
            <w:r w:rsidR="002F03E2">
              <w:rPr>
                <w:rFonts w:ascii="Arial" w:hAnsi="Arial" w:cs="Arial"/>
              </w:rPr>
              <w:t xml:space="preserve">, following approval from the </w:t>
            </w:r>
            <w:r>
              <w:rPr>
                <w:rFonts w:ascii="Arial" w:hAnsi="Arial" w:cs="Arial"/>
              </w:rPr>
              <w:t xml:space="preserve">CAO/Dean. </w:t>
            </w:r>
          </w:p>
        </w:tc>
      </w:tr>
    </w:tbl>
    <w:p w14:paraId="573A4F84" w14:textId="4890DB10" w:rsidR="00216EA5" w:rsidRDefault="00216EA5" w:rsidP="00490CE1">
      <w:pPr>
        <w:rPr>
          <w:rFonts w:ascii="Arial" w:hAnsi="Arial" w:cs="Arial"/>
        </w:rPr>
      </w:pPr>
    </w:p>
    <w:sectPr w:rsidR="00216EA5" w:rsidSect="0053519A">
      <w:headerReference w:type="default" r:id="rId11"/>
      <w:footerReference w:type="default" r:id="rId12"/>
      <w:headerReference w:type="first" r:id="rId13"/>
      <w:pgSz w:w="12240" w:h="15840" w:code="1"/>
      <w:pgMar w:top="1062" w:right="1080" w:bottom="576" w:left="108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652B7" w14:textId="77777777" w:rsidR="001501A9" w:rsidRDefault="001501A9" w:rsidP="00683A08">
      <w:r>
        <w:separator/>
      </w:r>
    </w:p>
  </w:endnote>
  <w:endnote w:type="continuationSeparator" w:id="0">
    <w:p w14:paraId="705D0EBF" w14:textId="77777777" w:rsidR="001501A9" w:rsidRDefault="001501A9" w:rsidP="0068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134660"/>
      <w:docPartObj>
        <w:docPartGallery w:val="Page Numbers (Bottom of Page)"/>
        <w:docPartUnique/>
      </w:docPartObj>
    </w:sdtPr>
    <w:sdtEndPr>
      <w:rPr>
        <w:rFonts w:ascii="Arial" w:hAnsi="Arial" w:cs="Arial"/>
        <w:noProof/>
      </w:rPr>
    </w:sdtEndPr>
    <w:sdtContent>
      <w:p w14:paraId="45F3150B" w14:textId="77777777" w:rsidR="009C51C0" w:rsidRDefault="009C51C0">
        <w:pPr>
          <w:pStyle w:val="Footer"/>
          <w:jc w:val="right"/>
        </w:pPr>
        <w:r>
          <w:fldChar w:fldCharType="begin"/>
        </w:r>
        <w:r>
          <w:instrText xml:space="preserve"> PAGE   \* MERGEFORMAT </w:instrText>
        </w:r>
        <w:r>
          <w:fldChar w:fldCharType="separate"/>
        </w:r>
        <w:r w:rsidR="00B54F03">
          <w:rPr>
            <w:noProof/>
          </w:rPr>
          <w:t>1</w:t>
        </w:r>
        <w:r>
          <w:rPr>
            <w:noProof/>
          </w:rPr>
          <w:fldChar w:fldCharType="end"/>
        </w:r>
      </w:p>
    </w:sdtContent>
  </w:sdt>
  <w:p w14:paraId="45F3150C" w14:textId="77777777" w:rsidR="00E537B3" w:rsidRDefault="00E53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12CFA" w14:textId="77777777" w:rsidR="001501A9" w:rsidRDefault="001501A9" w:rsidP="00683A08">
      <w:r>
        <w:separator/>
      </w:r>
    </w:p>
  </w:footnote>
  <w:footnote w:type="continuationSeparator" w:id="0">
    <w:p w14:paraId="509A09BE" w14:textId="77777777" w:rsidR="001501A9" w:rsidRDefault="001501A9" w:rsidP="0068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1509" w14:textId="539FFFD0" w:rsidR="00B424F4" w:rsidRPr="00B424F4" w:rsidRDefault="00B424F4" w:rsidP="009C51C0">
    <w:pPr>
      <w:pStyle w:val="Header"/>
      <w:pBdr>
        <w:bottom w:val="single" w:sz="24" w:space="1" w:color="auto"/>
      </w:pBdr>
      <w:tabs>
        <w:tab w:val="clear" w:pos="9360"/>
        <w:tab w:val="right" w:pos="10080"/>
      </w:tabs>
      <w:jc w:val="right"/>
      <w:rPr>
        <w:rFonts w:ascii="Arial" w:hAnsi="Arial" w:cs="Arial"/>
        <w:szCs w:val="36"/>
      </w:rPr>
    </w:pPr>
    <w:r>
      <w:rPr>
        <w:rFonts w:ascii="Arial" w:hAnsi="Arial" w:cs="Arial"/>
        <w:noProof/>
        <w:sz w:val="36"/>
        <w:szCs w:val="36"/>
      </w:rPr>
      <w:drawing>
        <wp:anchor distT="0" distB="0" distL="114300" distR="114300" simplePos="0" relativeHeight="251674624" behindDoc="0" locked="1" layoutInCell="1" allowOverlap="1" wp14:anchorId="45F3150F" wp14:editId="45F31510">
          <wp:simplePos x="0" y="0"/>
          <wp:positionH relativeFrom="margin">
            <wp:posOffset>-238125</wp:posOffset>
          </wp:positionH>
          <wp:positionV relativeFrom="margin">
            <wp:posOffset>-1308735</wp:posOffset>
          </wp:positionV>
          <wp:extent cx="2706370" cy="813435"/>
          <wp:effectExtent l="0" t="0" r="0" b="5715"/>
          <wp:wrapThrough wrapText="bothSides">
            <wp:wrapPolygon edited="0">
              <wp:start x="152" y="7588"/>
              <wp:lineTo x="0" y="10117"/>
              <wp:lineTo x="0" y="19222"/>
              <wp:lineTo x="2889" y="21246"/>
              <wp:lineTo x="18397" y="21246"/>
              <wp:lineTo x="18853" y="19222"/>
              <wp:lineTo x="17029" y="18211"/>
              <wp:lineTo x="21438" y="15176"/>
              <wp:lineTo x="21438" y="8600"/>
              <wp:lineTo x="2129" y="7588"/>
              <wp:lineTo x="152" y="7588"/>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amp; blac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6370" cy="813435"/>
                  </a:xfrm>
                  <a:prstGeom prst="rect">
                    <a:avLst/>
                  </a:prstGeom>
                </pic:spPr>
              </pic:pic>
            </a:graphicData>
          </a:graphic>
          <wp14:sizeRelH relativeFrom="margin">
            <wp14:pctWidth>0</wp14:pctWidth>
          </wp14:sizeRelH>
          <wp14:sizeRelV relativeFrom="margin">
            <wp14:pctHeight>0</wp14:pctHeight>
          </wp14:sizeRelV>
        </wp:anchor>
      </w:drawing>
    </w:r>
    <w:r w:rsidR="0053519A">
      <w:rPr>
        <w:rFonts w:ascii="Arial" w:hAnsi="Arial" w:cs="Arial"/>
        <w:sz w:val="36"/>
        <w:szCs w:val="36"/>
      </w:rPr>
      <w:tab/>
    </w:r>
    <w:r w:rsidR="0053519A">
      <w:rPr>
        <w:rFonts w:ascii="Arial" w:hAnsi="Arial" w:cs="Arial"/>
        <w:sz w:val="36"/>
        <w:szCs w:val="36"/>
      </w:rPr>
      <w:tab/>
    </w:r>
    <w:r w:rsidR="00750A6B">
      <w:rPr>
        <w:rFonts w:ascii="Arial" w:hAnsi="Arial" w:cs="Arial"/>
        <w:sz w:val="36"/>
        <w:szCs w:val="36"/>
      </w:rPr>
      <w:t xml:space="preserve">EHE </w:t>
    </w:r>
    <w:r w:rsidR="00853010">
      <w:rPr>
        <w:rFonts w:ascii="Arial" w:hAnsi="Arial" w:cs="Arial"/>
        <w:sz w:val="36"/>
        <w:szCs w:val="36"/>
      </w:rPr>
      <w:t xml:space="preserve">Staff Overload </w:t>
    </w:r>
    <w:r w:rsidR="00D66779">
      <w:rPr>
        <w:rFonts w:ascii="Arial" w:hAnsi="Arial" w:cs="Arial"/>
        <w:sz w:val="36"/>
        <w:szCs w:val="36"/>
      </w:rPr>
      <w:t>Guidelines</w:t>
    </w:r>
    <w:r>
      <w:rPr>
        <w:rFonts w:ascii="Arial" w:hAnsi="Arial" w:cs="Arial"/>
        <w:szCs w:val="36"/>
      </w:rPr>
      <w:br/>
    </w:r>
  </w:p>
  <w:p w14:paraId="45F3150A" w14:textId="77777777" w:rsidR="0053519A" w:rsidRDefault="0053519A">
    <w:pPr>
      <w:pStyle w:val="Header"/>
    </w:pPr>
  </w:p>
  <w:p w14:paraId="6C5FC7EA" w14:textId="77777777" w:rsidR="006C57F1" w:rsidRDefault="006C57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150D" w14:textId="77777777" w:rsidR="005F72CC" w:rsidRDefault="005F72CC" w:rsidP="0053519A">
    <w:pPr>
      <w:rPr>
        <w:rFonts w:ascii="Arial" w:hAnsi="Arial" w:cs="Arial"/>
        <w:sz w:val="36"/>
        <w:szCs w:val="36"/>
      </w:rPr>
    </w:pPr>
  </w:p>
  <w:p w14:paraId="45F3150E" w14:textId="77777777" w:rsidR="0053519A" w:rsidRPr="0053519A" w:rsidRDefault="0053519A" w:rsidP="0053519A">
    <w:pP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EEB"/>
    <w:multiLevelType w:val="hybridMultilevel"/>
    <w:tmpl w:val="1EA0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F09E9"/>
    <w:multiLevelType w:val="hybridMultilevel"/>
    <w:tmpl w:val="CD92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6229D"/>
    <w:multiLevelType w:val="hybridMultilevel"/>
    <w:tmpl w:val="34D41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1D49A7"/>
    <w:multiLevelType w:val="hybridMultilevel"/>
    <w:tmpl w:val="BA641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3624"/>
    <w:multiLevelType w:val="hybridMultilevel"/>
    <w:tmpl w:val="A6DA6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B543C6"/>
    <w:multiLevelType w:val="hybridMultilevel"/>
    <w:tmpl w:val="82F8F2D2"/>
    <w:lvl w:ilvl="0" w:tplc="2BE42E42">
      <w:start w:val="1"/>
      <w:numFmt w:val="bullet"/>
      <w:lvlText w:val="•"/>
      <w:lvlJc w:val="left"/>
      <w:pPr>
        <w:tabs>
          <w:tab w:val="num" w:pos="720"/>
        </w:tabs>
        <w:ind w:left="720" w:hanging="360"/>
      </w:pPr>
      <w:rPr>
        <w:rFonts w:ascii="Arial" w:hAnsi="Arial" w:hint="default"/>
      </w:rPr>
    </w:lvl>
    <w:lvl w:ilvl="1" w:tplc="EF1EE8D6" w:tentative="1">
      <w:start w:val="1"/>
      <w:numFmt w:val="bullet"/>
      <w:lvlText w:val="•"/>
      <w:lvlJc w:val="left"/>
      <w:pPr>
        <w:tabs>
          <w:tab w:val="num" w:pos="1440"/>
        </w:tabs>
        <w:ind w:left="1440" w:hanging="360"/>
      </w:pPr>
      <w:rPr>
        <w:rFonts w:ascii="Arial" w:hAnsi="Arial" w:hint="default"/>
      </w:rPr>
    </w:lvl>
    <w:lvl w:ilvl="2" w:tplc="EA5EA3C4" w:tentative="1">
      <w:start w:val="1"/>
      <w:numFmt w:val="bullet"/>
      <w:lvlText w:val="•"/>
      <w:lvlJc w:val="left"/>
      <w:pPr>
        <w:tabs>
          <w:tab w:val="num" w:pos="2160"/>
        </w:tabs>
        <w:ind w:left="2160" w:hanging="360"/>
      </w:pPr>
      <w:rPr>
        <w:rFonts w:ascii="Arial" w:hAnsi="Arial" w:hint="default"/>
      </w:rPr>
    </w:lvl>
    <w:lvl w:ilvl="3" w:tplc="32764DE6" w:tentative="1">
      <w:start w:val="1"/>
      <w:numFmt w:val="bullet"/>
      <w:lvlText w:val="•"/>
      <w:lvlJc w:val="left"/>
      <w:pPr>
        <w:tabs>
          <w:tab w:val="num" w:pos="2880"/>
        </w:tabs>
        <w:ind w:left="2880" w:hanging="360"/>
      </w:pPr>
      <w:rPr>
        <w:rFonts w:ascii="Arial" w:hAnsi="Arial" w:hint="default"/>
      </w:rPr>
    </w:lvl>
    <w:lvl w:ilvl="4" w:tplc="E682BE9A" w:tentative="1">
      <w:start w:val="1"/>
      <w:numFmt w:val="bullet"/>
      <w:lvlText w:val="•"/>
      <w:lvlJc w:val="left"/>
      <w:pPr>
        <w:tabs>
          <w:tab w:val="num" w:pos="3600"/>
        </w:tabs>
        <w:ind w:left="3600" w:hanging="360"/>
      </w:pPr>
      <w:rPr>
        <w:rFonts w:ascii="Arial" w:hAnsi="Arial" w:hint="default"/>
      </w:rPr>
    </w:lvl>
    <w:lvl w:ilvl="5" w:tplc="D1B00044" w:tentative="1">
      <w:start w:val="1"/>
      <w:numFmt w:val="bullet"/>
      <w:lvlText w:val="•"/>
      <w:lvlJc w:val="left"/>
      <w:pPr>
        <w:tabs>
          <w:tab w:val="num" w:pos="4320"/>
        </w:tabs>
        <w:ind w:left="4320" w:hanging="360"/>
      </w:pPr>
      <w:rPr>
        <w:rFonts w:ascii="Arial" w:hAnsi="Arial" w:hint="default"/>
      </w:rPr>
    </w:lvl>
    <w:lvl w:ilvl="6" w:tplc="971803C6" w:tentative="1">
      <w:start w:val="1"/>
      <w:numFmt w:val="bullet"/>
      <w:lvlText w:val="•"/>
      <w:lvlJc w:val="left"/>
      <w:pPr>
        <w:tabs>
          <w:tab w:val="num" w:pos="5040"/>
        </w:tabs>
        <w:ind w:left="5040" w:hanging="360"/>
      </w:pPr>
      <w:rPr>
        <w:rFonts w:ascii="Arial" w:hAnsi="Arial" w:hint="default"/>
      </w:rPr>
    </w:lvl>
    <w:lvl w:ilvl="7" w:tplc="42DAF042" w:tentative="1">
      <w:start w:val="1"/>
      <w:numFmt w:val="bullet"/>
      <w:lvlText w:val="•"/>
      <w:lvlJc w:val="left"/>
      <w:pPr>
        <w:tabs>
          <w:tab w:val="num" w:pos="5760"/>
        </w:tabs>
        <w:ind w:left="5760" w:hanging="360"/>
      </w:pPr>
      <w:rPr>
        <w:rFonts w:ascii="Arial" w:hAnsi="Arial" w:hint="default"/>
      </w:rPr>
    </w:lvl>
    <w:lvl w:ilvl="8" w:tplc="CD6060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6A6602"/>
    <w:multiLevelType w:val="hybridMultilevel"/>
    <w:tmpl w:val="E906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F13D8"/>
    <w:multiLevelType w:val="hybridMultilevel"/>
    <w:tmpl w:val="F7842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944B7"/>
    <w:multiLevelType w:val="hybridMultilevel"/>
    <w:tmpl w:val="B018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F5B8C"/>
    <w:multiLevelType w:val="hybridMultilevel"/>
    <w:tmpl w:val="A42E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97EF1"/>
    <w:multiLevelType w:val="hybridMultilevel"/>
    <w:tmpl w:val="C6BCD2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E82CBA"/>
    <w:multiLevelType w:val="hybridMultilevel"/>
    <w:tmpl w:val="0A6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54DB1"/>
    <w:multiLevelType w:val="hybridMultilevel"/>
    <w:tmpl w:val="6854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00CE7"/>
    <w:multiLevelType w:val="hybridMultilevel"/>
    <w:tmpl w:val="64F81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E3267D"/>
    <w:multiLevelType w:val="hybridMultilevel"/>
    <w:tmpl w:val="087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079EA"/>
    <w:multiLevelType w:val="hybridMultilevel"/>
    <w:tmpl w:val="4F2C9DD8"/>
    <w:lvl w:ilvl="0" w:tplc="FE3E54D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D7D7A"/>
    <w:multiLevelType w:val="hybridMultilevel"/>
    <w:tmpl w:val="EFC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44E87"/>
    <w:multiLevelType w:val="hybridMultilevel"/>
    <w:tmpl w:val="7206E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650A3"/>
    <w:multiLevelType w:val="hybridMultilevel"/>
    <w:tmpl w:val="7D2C8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DC0054"/>
    <w:multiLevelType w:val="hybridMultilevel"/>
    <w:tmpl w:val="7DB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767CD"/>
    <w:multiLevelType w:val="hybridMultilevel"/>
    <w:tmpl w:val="4446A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56F43"/>
    <w:multiLevelType w:val="hybridMultilevel"/>
    <w:tmpl w:val="557CE55C"/>
    <w:lvl w:ilvl="0" w:tplc="B680D9B0">
      <w:start w:val="1"/>
      <w:numFmt w:val="bullet"/>
      <w:lvlText w:val="•"/>
      <w:lvlJc w:val="left"/>
      <w:pPr>
        <w:tabs>
          <w:tab w:val="num" w:pos="720"/>
        </w:tabs>
        <w:ind w:left="720" w:hanging="360"/>
      </w:pPr>
      <w:rPr>
        <w:rFonts w:ascii="Arial" w:hAnsi="Arial" w:hint="default"/>
      </w:rPr>
    </w:lvl>
    <w:lvl w:ilvl="1" w:tplc="C5FE428C" w:tentative="1">
      <w:start w:val="1"/>
      <w:numFmt w:val="bullet"/>
      <w:lvlText w:val="•"/>
      <w:lvlJc w:val="left"/>
      <w:pPr>
        <w:tabs>
          <w:tab w:val="num" w:pos="1440"/>
        </w:tabs>
        <w:ind w:left="1440" w:hanging="360"/>
      </w:pPr>
      <w:rPr>
        <w:rFonts w:ascii="Arial" w:hAnsi="Arial" w:hint="default"/>
      </w:rPr>
    </w:lvl>
    <w:lvl w:ilvl="2" w:tplc="4136306A" w:tentative="1">
      <w:start w:val="1"/>
      <w:numFmt w:val="bullet"/>
      <w:lvlText w:val="•"/>
      <w:lvlJc w:val="left"/>
      <w:pPr>
        <w:tabs>
          <w:tab w:val="num" w:pos="2160"/>
        </w:tabs>
        <w:ind w:left="2160" w:hanging="360"/>
      </w:pPr>
      <w:rPr>
        <w:rFonts w:ascii="Arial" w:hAnsi="Arial" w:hint="default"/>
      </w:rPr>
    </w:lvl>
    <w:lvl w:ilvl="3" w:tplc="D8082B92" w:tentative="1">
      <w:start w:val="1"/>
      <w:numFmt w:val="bullet"/>
      <w:lvlText w:val="•"/>
      <w:lvlJc w:val="left"/>
      <w:pPr>
        <w:tabs>
          <w:tab w:val="num" w:pos="2880"/>
        </w:tabs>
        <w:ind w:left="2880" w:hanging="360"/>
      </w:pPr>
      <w:rPr>
        <w:rFonts w:ascii="Arial" w:hAnsi="Arial" w:hint="default"/>
      </w:rPr>
    </w:lvl>
    <w:lvl w:ilvl="4" w:tplc="F6BC4778" w:tentative="1">
      <w:start w:val="1"/>
      <w:numFmt w:val="bullet"/>
      <w:lvlText w:val="•"/>
      <w:lvlJc w:val="left"/>
      <w:pPr>
        <w:tabs>
          <w:tab w:val="num" w:pos="3600"/>
        </w:tabs>
        <w:ind w:left="3600" w:hanging="360"/>
      </w:pPr>
      <w:rPr>
        <w:rFonts w:ascii="Arial" w:hAnsi="Arial" w:hint="default"/>
      </w:rPr>
    </w:lvl>
    <w:lvl w:ilvl="5" w:tplc="4CDE4C98" w:tentative="1">
      <w:start w:val="1"/>
      <w:numFmt w:val="bullet"/>
      <w:lvlText w:val="•"/>
      <w:lvlJc w:val="left"/>
      <w:pPr>
        <w:tabs>
          <w:tab w:val="num" w:pos="4320"/>
        </w:tabs>
        <w:ind w:left="4320" w:hanging="360"/>
      </w:pPr>
      <w:rPr>
        <w:rFonts w:ascii="Arial" w:hAnsi="Arial" w:hint="default"/>
      </w:rPr>
    </w:lvl>
    <w:lvl w:ilvl="6" w:tplc="D1E82CD2" w:tentative="1">
      <w:start w:val="1"/>
      <w:numFmt w:val="bullet"/>
      <w:lvlText w:val="•"/>
      <w:lvlJc w:val="left"/>
      <w:pPr>
        <w:tabs>
          <w:tab w:val="num" w:pos="5040"/>
        </w:tabs>
        <w:ind w:left="5040" w:hanging="360"/>
      </w:pPr>
      <w:rPr>
        <w:rFonts w:ascii="Arial" w:hAnsi="Arial" w:hint="default"/>
      </w:rPr>
    </w:lvl>
    <w:lvl w:ilvl="7" w:tplc="F0B60CD8" w:tentative="1">
      <w:start w:val="1"/>
      <w:numFmt w:val="bullet"/>
      <w:lvlText w:val="•"/>
      <w:lvlJc w:val="left"/>
      <w:pPr>
        <w:tabs>
          <w:tab w:val="num" w:pos="5760"/>
        </w:tabs>
        <w:ind w:left="5760" w:hanging="360"/>
      </w:pPr>
      <w:rPr>
        <w:rFonts w:ascii="Arial" w:hAnsi="Arial" w:hint="default"/>
      </w:rPr>
    </w:lvl>
    <w:lvl w:ilvl="8" w:tplc="2A847F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883C92"/>
    <w:multiLevelType w:val="hybridMultilevel"/>
    <w:tmpl w:val="E1A8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637212">
    <w:abstractNumId w:val="0"/>
  </w:num>
  <w:num w:numId="2" w16cid:durableId="1028943951">
    <w:abstractNumId w:val="6"/>
  </w:num>
  <w:num w:numId="3" w16cid:durableId="1858929816">
    <w:abstractNumId w:val="3"/>
  </w:num>
  <w:num w:numId="4" w16cid:durableId="157039182">
    <w:abstractNumId w:val="15"/>
  </w:num>
  <w:num w:numId="5" w16cid:durableId="1860464135">
    <w:abstractNumId w:val="2"/>
  </w:num>
  <w:num w:numId="6" w16cid:durableId="770512441">
    <w:abstractNumId w:val="7"/>
  </w:num>
  <w:num w:numId="7" w16cid:durableId="1436168824">
    <w:abstractNumId w:val="16"/>
  </w:num>
  <w:num w:numId="8" w16cid:durableId="1167938946">
    <w:abstractNumId w:val="17"/>
  </w:num>
  <w:num w:numId="9" w16cid:durableId="1412583233">
    <w:abstractNumId w:val="4"/>
  </w:num>
  <w:num w:numId="10" w16cid:durableId="282617301">
    <w:abstractNumId w:val="13"/>
  </w:num>
  <w:num w:numId="11" w16cid:durableId="880478629">
    <w:abstractNumId w:val="18"/>
  </w:num>
  <w:num w:numId="12" w16cid:durableId="128206263">
    <w:abstractNumId w:val="22"/>
  </w:num>
  <w:num w:numId="13" w16cid:durableId="1895584941">
    <w:abstractNumId w:val="10"/>
  </w:num>
  <w:num w:numId="14" w16cid:durableId="1988051251">
    <w:abstractNumId w:val="12"/>
  </w:num>
  <w:num w:numId="15" w16cid:durableId="959919372">
    <w:abstractNumId w:val="20"/>
  </w:num>
  <w:num w:numId="16" w16cid:durableId="725639361">
    <w:abstractNumId w:val="5"/>
  </w:num>
  <w:num w:numId="17" w16cid:durableId="2020615233">
    <w:abstractNumId w:val="21"/>
  </w:num>
  <w:num w:numId="18" w16cid:durableId="1579436521">
    <w:abstractNumId w:val="11"/>
  </w:num>
  <w:num w:numId="19" w16cid:durableId="899941868">
    <w:abstractNumId w:val="19"/>
  </w:num>
  <w:num w:numId="20" w16cid:durableId="1831020261">
    <w:abstractNumId w:val="14"/>
  </w:num>
  <w:num w:numId="21" w16cid:durableId="1216507464">
    <w:abstractNumId w:val="1"/>
  </w:num>
  <w:num w:numId="22" w16cid:durableId="67310934">
    <w:abstractNumId w:val="9"/>
  </w:num>
  <w:num w:numId="23" w16cid:durableId="1674530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49"/>
    <w:rsid w:val="00007041"/>
    <w:rsid w:val="00013A67"/>
    <w:rsid w:val="00015907"/>
    <w:rsid w:val="00015D92"/>
    <w:rsid w:val="00022723"/>
    <w:rsid w:val="00023280"/>
    <w:rsid w:val="00023391"/>
    <w:rsid w:val="00024928"/>
    <w:rsid w:val="00031DEB"/>
    <w:rsid w:val="00036B61"/>
    <w:rsid w:val="000412AE"/>
    <w:rsid w:val="000512DC"/>
    <w:rsid w:val="000668B7"/>
    <w:rsid w:val="00066AC8"/>
    <w:rsid w:val="000779D5"/>
    <w:rsid w:val="00080746"/>
    <w:rsid w:val="00084024"/>
    <w:rsid w:val="0009006C"/>
    <w:rsid w:val="000946E0"/>
    <w:rsid w:val="000A414A"/>
    <w:rsid w:val="000B17B4"/>
    <w:rsid w:val="000B5127"/>
    <w:rsid w:val="000B64E1"/>
    <w:rsid w:val="000C3D57"/>
    <w:rsid w:val="000C610C"/>
    <w:rsid w:val="000C6FCA"/>
    <w:rsid w:val="000C75AA"/>
    <w:rsid w:val="000D22C1"/>
    <w:rsid w:val="000D2BAC"/>
    <w:rsid w:val="000D365D"/>
    <w:rsid w:val="000E2896"/>
    <w:rsid w:val="000E31F3"/>
    <w:rsid w:val="000E643D"/>
    <w:rsid w:val="000F0993"/>
    <w:rsid w:val="000F1748"/>
    <w:rsid w:val="000F3FAD"/>
    <w:rsid w:val="000F6A6C"/>
    <w:rsid w:val="001006DE"/>
    <w:rsid w:val="001036CD"/>
    <w:rsid w:val="00110321"/>
    <w:rsid w:val="00113F3C"/>
    <w:rsid w:val="001222C3"/>
    <w:rsid w:val="00127AB2"/>
    <w:rsid w:val="0013195B"/>
    <w:rsid w:val="00135175"/>
    <w:rsid w:val="0013761A"/>
    <w:rsid w:val="001411E0"/>
    <w:rsid w:val="00141E4E"/>
    <w:rsid w:val="00143C14"/>
    <w:rsid w:val="00144F2D"/>
    <w:rsid w:val="001501A9"/>
    <w:rsid w:val="00151F42"/>
    <w:rsid w:val="00151FE6"/>
    <w:rsid w:val="00153442"/>
    <w:rsid w:val="001534C5"/>
    <w:rsid w:val="00154091"/>
    <w:rsid w:val="0015643C"/>
    <w:rsid w:val="0016018B"/>
    <w:rsid w:val="00165530"/>
    <w:rsid w:val="001717E3"/>
    <w:rsid w:val="0017506F"/>
    <w:rsid w:val="001802A2"/>
    <w:rsid w:val="0018147E"/>
    <w:rsid w:val="0018353C"/>
    <w:rsid w:val="00185349"/>
    <w:rsid w:val="001931A3"/>
    <w:rsid w:val="00193FCE"/>
    <w:rsid w:val="001A0DB3"/>
    <w:rsid w:val="001A5195"/>
    <w:rsid w:val="001C2E75"/>
    <w:rsid w:val="001C3615"/>
    <w:rsid w:val="001C3ADD"/>
    <w:rsid w:val="001C7643"/>
    <w:rsid w:val="001D2D9B"/>
    <w:rsid w:val="001D3C62"/>
    <w:rsid w:val="001E0C3E"/>
    <w:rsid w:val="001E2F60"/>
    <w:rsid w:val="001F03BF"/>
    <w:rsid w:val="001F2A6C"/>
    <w:rsid w:val="001F3B74"/>
    <w:rsid w:val="0020702C"/>
    <w:rsid w:val="002077EE"/>
    <w:rsid w:val="00207EA5"/>
    <w:rsid w:val="00214849"/>
    <w:rsid w:val="00216EA5"/>
    <w:rsid w:val="002223F4"/>
    <w:rsid w:val="00224432"/>
    <w:rsid w:val="00226CEE"/>
    <w:rsid w:val="00233A9A"/>
    <w:rsid w:val="00234198"/>
    <w:rsid w:val="00242265"/>
    <w:rsid w:val="00247F53"/>
    <w:rsid w:val="00250787"/>
    <w:rsid w:val="00262E89"/>
    <w:rsid w:val="002663A6"/>
    <w:rsid w:val="002668DD"/>
    <w:rsid w:val="00274333"/>
    <w:rsid w:val="002745DE"/>
    <w:rsid w:val="0028162B"/>
    <w:rsid w:val="00286890"/>
    <w:rsid w:val="00295F92"/>
    <w:rsid w:val="002A0DB6"/>
    <w:rsid w:val="002A34E2"/>
    <w:rsid w:val="002A4147"/>
    <w:rsid w:val="002B3D84"/>
    <w:rsid w:val="002B4AED"/>
    <w:rsid w:val="002B7BC1"/>
    <w:rsid w:val="002C4415"/>
    <w:rsid w:val="002D1A64"/>
    <w:rsid w:val="002D2547"/>
    <w:rsid w:val="002D2D06"/>
    <w:rsid w:val="002D71EE"/>
    <w:rsid w:val="002E5C3D"/>
    <w:rsid w:val="002F03E2"/>
    <w:rsid w:val="00301A4D"/>
    <w:rsid w:val="00312B95"/>
    <w:rsid w:val="00316F53"/>
    <w:rsid w:val="0034533D"/>
    <w:rsid w:val="00351095"/>
    <w:rsid w:val="00355306"/>
    <w:rsid w:val="00364275"/>
    <w:rsid w:val="00366B65"/>
    <w:rsid w:val="003740DC"/>
    <w:rsid w:val="00375BC8"/>
    <w:rsid w:val="00386461"/>
    <w:rsid w:val="00386866"/>
    <w:rsid w:val="00391E5B"/>
    <w:rsid w:val="00395433"/>
    <w:rsid w:val="0039595F"/>
    <w:rsid w:val="0039706A"/>
    <w:rsid w:val="003A0188"/>
    <w:rsid w:val="003A61DE"/>
    <w:rsid w:val="003A708A"/>
    <w:rsid w:val="003C0C93"/>
    <w:rsid w:val="003C2199"/>
    <w:rsid w:val="003D3550"/>
    <w:rsid w:val="003E633F"/>
    <w:rsid w:val="003F1F29"/>
    <w:rsid w:val="003F24CB"/>
    <w:rsid w:val="00403D5D"/>
    <w:rsid w:val="00416FCB"/>
    <w:rsid w:val="00420C41"/>
    <w:rsid w:val="00422208"/>
    <w:rsid w:val="0042526A"/>
    <w:rsid w:val="004305C3"/>
    <w:rsid w:val="004401A3"/>
    <w:rsid w:val="004418C5"/>
    <w:rsid w:val="0044194C"/>
    <w:rsid w:val="00442F67"/>
    <w:rsid w:val="00455015"/>
    <w:rsid w:val="00457E61"/>
    <w:rsid w:val="00464D2E"/>
    <w:rsid w:val="004702CA"/>
    <w:rsid w:val="00470E58"/>
    <w:rsid w:val="00471A99"/>
    <w:rsid w:val="004751FF"/>
    <w:rsid w:val="0047736E"/>
    <w:rsid w:val="00477D0B"/>
    <w:rsid w:val="00484BDD"/>
    <w:rsid w:val="004868E7"/>
    <w:rsid w:val="00490CE1"/>
    <w:rsid w:val="004A581A"/>
    <w:rsid w:val="004A6072"/>
    <w:rsid w:val="004A7551"/>
    <w:rsid w:val="004B0C66"/>
    <w:rsid w:val="004B2B26"/>
    <w:rsid w:val="004B3406"/>
    <w:rsid w:val="004B34AB"/>
    <w:rsid w:val="004C0C2F"/>
    <w:rsid w:val="004D7573"/>
    <w:rsid w:val="004E0967"/>
    <w:rsid w:val="004F05E2"/>
    <w:rsid w:val="004F34D1"/>
    <w:rsid w:val="0051341B"/>
    <w:rsid w:val="00521C2C"/>
    <w:rsid w:val="00525C80"/>
    <w:rsid w:val="00525CA9"/>
    <w:rsid w:val="00530571"/>
    <w:rsid w:val="00530EB9"/>
    <w:rsid w:val="0053143A"/>
    <w:rsid w:val="00532F67"/>
    <w:rsid w:val="0053519A"/>
    <w:rsid w:val="00535E95"/>
    <w:rsid w:val="005433A0"/>
    <w:rsid w:val="00543D2A"/>
    <w:rsid w:val="00545670"/>
    <w:rsid w:val="005464E6"/>
    <w:rsid w:val="0055099A"/>
    <w:rsid w:val="005514F7"/>
    <w:rsid w:val="00554A3E"/>
    <w:rsid w:val="005643E9"/>
    <w:rsid w:val="0056571F"/>
    <w:rsid w:val="00585D73"/>
    <w:rsid w:val="00595683"/>
    <w:rsid w:val="005A0088"/>
    <w:rsid w:val="005A391E"/>
    <w:rsid w:val="005B0029"/>
    <w:rsid w:val="005C31B7"/>
    <w:rsid w:val="005C48D3"/>
    <w:rsid w:val="005C6398"/>
    <w:rsid w:val="005D0150"/>
    <w:rsid w:val="005D5D95"/>
    <w:rsid w:val="005D68FD"/>
    <w:rsid w:val="005D7F3B"/>
    <w:rsid w:val="005E0357"/>
    <w:rsid w:val="005E0677"/>
    <w:rsid w:val="005E3A4C"/>
    <w:rsid w:val="005F1259"/>
    <w:rsid w:val="005F72CC"/>
    <w:rsid w:val="00613717"/>
    <w:rsid w:val="00614C76"/>
    <w:rsid w:val="00614E12"/>
    <w:rsid w:val="00614E86"/>
    <w:rsid w:val="00616344"/>
    <w:rsid w:val="00616ADC"/>
    <w:rsid w:val="006177FB"/>
    <w:rsid w:val="0062308F"/>
    <w:rsid w:val="006244DD"/>
    <w:rsid w:val="006255A5"/>
    <w:rsid w:val="00625CA9"/>
    <w:rsid w:val="00631112"/>
    <w:rsid w:val="0063313E"/>
    <w:rsid w:val="00635FA4"/>
    <w:rsid w:val="0064458F"/>
    <w:rsid w:val="00647528"/>
    <w:rsid w:val="00660529"/>
    <w:rsid w:val="00660E2D"/>
    <w:rsid w:val="00662575"/>
    <w:rsid w:val="00663DA3"/>
    <w:rsid w:val="006672B0"/>
    <w:rsid w:val="00683A08"/>
    <w:rsid w:val="00693A51"/>
    <w:rsid w:val="0069427C"/>
    <w:rsid w:val="006945AA"/>
    <w:rsid w:val="00695B2D"/>
    <w:rsid w:val="006A0990"/>
    <w:rsid w:val="006A0C41"/>
    <w:rsid w:val="006B2F53"/>
    <w:rsid w:val="006C5652"/>
    <w:rsid w:val="006C57F1"/>
    <w:rsid w:val="006C5BA2"/>
    <w:rsid w:val="006D07CB"/>
    <w:rsid w:val="006D10E8"/>
    <w:rsid w:val="006D3844"/>
    <w:rsid w:val="006F4A65"/>
    <w:rsid w:val="00701493"/>
    <w:rsid w:val="00710019"/>
    <w:rsid w:val="0071154C"/>
    <w:rsid w:val="00721823"/>
    <w:rsid w:val="007267A1"/>
    <w:rsid w:val="00737982"/>
    <w:rsid w:val="00740273"/>
    <w:rsid w:val="007450E8"/>
    <w:rsid w:val="00750A6B"/>
    <w:rsid w:val="007512C5"/>
    <w:rsid w:val="0075303F"/>
    <w:rsid w:val="007627B3"/>
    <w:rsid w:val="00777980"/>
    <w:rsid w:val="00785290"/>
    <w:rsid w:val="00787D93"/>
    <w:rsid w:val="00793A72"/>
    <w:rsid w:val="007A3A10"/>
    <w:rsid w:val="007A7EC4"/>
    <w:rsid w:val="007B79EB"/>
    <w:rsid w:val="007C62E5"/>
    <w:rsid w:val="007D53AF"/>
    <w:rsid w:val="007D7F7D"/>
    <w:rsid w:val="007E48D5"/>
    <w:rsid w:val="007E54A8"/>
    <w:rsid w:val="007E6316"/>
    <w:rsid w:val="007F2A64"/>
    <w:rsid w:val="0081092B"/>
    <w:rsid w:val="00814ED2"/>
    <w:rsid w:val="0081666C"/>
    <w:rsid w:val="00823269"/>
    <w:rsid w:val="0083090F"/>
    <w:rsid w:val="00833B13"/>
    <w:rsid w:val="008353F6"/>
    <w:rsid w:val="00835CA2"/>
    <w:rsid w:val="008422FA"/>
    <w:rsid w:val="00844F8E"/>
    <w:rsid w:val="00853010"/>
    <w:rsid w:val="00853F16"/>
    <w:rsid w:val="0086537A"/>
    <w:rsid w:val="00871D51"/>
    <w:rsid w:val="008729BB"/>
    <w:rsid w:val="0087751D"/>
    <w:rsid w:val="00880432"/>
    <w:rsid w:val="00892C5D"/>
    <w:rsid w:val="00894875"/>
    <w:rsid w:val="008954B2"/>
    <w:rsid w:val="008B041D"/>
    <w:rsid w:val="008B3078"/>
    <w:rsid w:val="008B5869"/>
    <w:rsid w:val="008C09EB"/>
    <w:rsid w:val="008C3C51"/>
    <w:rsid w:val="008D127B"/>
    <w:rsid w:val="008E35AD"/>
    <w:rsid w:val="008E5E1E"/>
    <w:rsid w:val="008E6DF8"/>
    <w:rsid w:val="008F082E"/>
    <w:rsid w:val="008F3F10"/>
    <w:rsid w:val="008F3F80"/>
    <w:rsid w:val="00900984"/>
    <w:rsid w:val="00921754"/>
    <w:rsid w:val="009266ED"/>
    <w:rsid w:val="00936DCD"/>
    <w:rsid w:val="0094551C"/>
    <w:rsid w:val="00950FF1"/>
    <w:rsid w:val="0096090E"/>
    <w:rsid w:val="009619BC"/>
    <w:rsid w:val="00962072"/>
    <w:rsid w:val="00964860"/>
    <w:rsid w:val="00970F1B"/>
    <w:rsid w:val="009726AD"/>
    <w:rsid w:val="00976158"/>
    <w:rsid w:val="00984DFA"/>
    <w:rsid w:val="00984F45"/>
    <w:rsid w:val="009A653A"/>
    <w:rsid w:val="009B6E90"/>
    <w:rsid w:val="009C15D2"/>
    <w:rsid w:val="009C1834"/>
    <w:rsid w:val="009C51C0"/>
    <w:rsid w:val="009C6D02"/>
    <w:rsid w:val="009D1997"/>
    <w:rsid w:val="009D3C78"/>
    <w:rsid w:val="009D6D86"/>
    <w:rsid w:val="009D6F53"/>
    <w:rsid w:val="009D70DD"/>
    <w:rsid w:val="009D7E37"/>
    <w:rsid w:val="009E12B6"/>
    <w:rsid w:val="009E2321"/>
    <w:rsid w:val="009E7D05"/>
    <w:rsid w:val="009F0063"/>
    <w:rsid w:val="00A04DDA"/>
    <w:rsid w:val="00A055A1"/>
    <w:rsid w:val="00A25D64"/>
    <w:rsid w:val="00A26E74"/>
    <w:rsid w:val="00A36F6A"/>
    <w:rsid w:val="00A57197"/>
    <w:rsid w:val="00A63932"/>
    <w:rsid w:val="00A67236"/>
    <w:rsid w:val="00A702FA"/>
    <w:rsid w:val="00A73857"/>
    <w:rsid w:val="00A7543D"/>
    <w:rsid w:val="00A775F2"/>
    <w:rsid w:val="00A87C39"/>
    <w:rsid w:val="00AA4C0A"/>
    <w:rsid w:val="00AA4D4D"/>
    <w:rsid w:val="00AB2A0B"/>
    <w:rsid w:val="00AB73A3"/>
    <w:rsid w:val="00AD0161"/>
    <w:rsid w:val="00AE3638"/>
    <w:rsid w:val="00AE785E"/>
    <w:rsid w:val="00AF2DB9"/>
    <w:rsid w:val="00B0264D"/>
    <w:rsid w:val="00B06D87"/>
    <w:rsid w:val="00B11017"/>
    <w:rsid w:val="00B201DD"/>
    <w:rsid w:val="00B20918"/>
    <w:rsid w:val="00B23513"/>
    <w:rsid w:val="00B301A2"/>
    <w:rsid w:val="00B424F4"/>
    <w:rsid w:val="00B50ACA"/>
    <w:rsid w:val="00B52076"/>
    <w:rsid w:val="00B54F03"/>
    <w:rsid w:val="00B56837"/>
    <w:rsid w:val="00B6752C"/>
    <w:rsid w:val="00B67900"/>
    <w:rsid w:val="00B758CB"/>
    <w:rsid w:val="00B96184"/>
    <w:rsid w:val="00BA5F60"/>
    <w:rsid w:val="00BA778E"/>
    <w:rsid w:val="00BB3021"/>
    <w:rsid w:val="00BB459E"/>
    <w:rsid w:val="00BB5AB1"/>
    <w:rsid w:val="00BB719B"/>
    <w:rsid w:val="00BD31EE"/>
    <w:rsid w:val="00BE20D2"/>
    <w:rsid w:val="00C05770"/>
    <w:rsid w:val="00C068A7"/>
    <w:rsid w:val="00C10931"/>
    <w:rsid w:val="00C13FE1"/>
    <w:rsid w:val="00C156AF"/>
    <w:rsid w:val="00C16A45"/>
    <w:rsid w:val="00C21957"/>
    <w:rsid w:val="00C229E8"/>
    <w:rsid w:val="00C240C3"/>
    <w:rsid w:val="00C30853"/>
    <w:rsid w:val="00C433C0"/>
    <w:rsid w:val="00C55C2B"/>
    <w:rsid w:val="00C6315B"/>
    <w:rsid w:val="00C67877"/>
    <w:rsid w:val="00C72E60"/>
    <w:rsid w:val="00C75374"/>
    <w:rsid w:val="00C75CC5"/>
    <w:rsid w:val="00C76AC3"/>
    <w:rsid w:val="00C77E08"/>
    <w:rsid w:val="00C83F9D"/>
    <w:rsid w:val="00CA2C52"/>
    <w:rsid w:val="00CA7792"/>
    <w:rsid w:val="00CB214D"/>
    <w:rsid w:val="00CC322C"/>
    <w:rsid w:val="00CC5016"/>
    <w:rsid w:val="00CC6395"/>
    <w:rsid w:val="00CD32BE"/>
    <w:rsid w:val="00CD56C1"/>
    <w:rsid w:val="00CE3B7D"/>
    <w:rsid w:val="00CF02CA"/>
    <w:rsid w:val="00D03529"/>
    <w:rsid w:val="00D1456A"/>
    <w:rsid w:val="00D153FF"/>
    <w:rsid w:val="00D15B72"/>
    <w:rsid w:val="00D36280"/>
    <w:rsid w:val="00D4102C"/>
    <w:rsid w:val="00D411AA"/>
    <w:rsid w:val="00D41BB4"/>
    <w:rsid w:val="00D41E1B"/>
    <w:rsid w:val="00D44803"/>
    <w:rsid w:val="00D47FBE"/>
    <w:rsid w:val="00D527C6"/>
    <w:rsid w:val="00D57208"/>
    <w:rsid w:val="00D574A2"/>
    <w:rsid w:val="00D6558F"/>
    <w:rsid w:val="00D66779"/>
    <w:rsid w:val="00D66F59"/>
    <w:rsid w:val="00D710A7"/>
    <w:rsid w:val="00D7471E"/>
    <w:rsid w:val="00D74EAD"/>
    <w:rsid w:val="00D776CF"/>
    <w:rsid w:val="00D80516"/>
    <w:rsid w:val="00D867EC"/>
    <w:rsid w:val="00D95DD1"/>
    <w:rsid w:val="00DA5EDC"/>
    <w:rsid w:val="00DA7B49"/>
    <w:rsid w:val="00DB05E4"/>
    <w:rsid w:val="00DB15EA"/>
    <w:rsid w:val="00DC08AB"/>
    <w:rsid w:val="00DC3250"/>
    <w:rsid w:val="00DC6CDB"/>
    <w:rsid w:val="00DD0AAF"/>
    <w:rsid w:val="00DD5CED"/>
    <w:rsid w:val="00DD5D44"/>
    <w:rsid w:val="00DE165D"/>
    <w:rsid w:val="00DE6BB8"/>
    <w:rsid w:val="00DF1EA0"/>
    <w:rsid w:val="00DF37F3"/>
    <w:rsid w:val="00DF709F"/>
    <w:rsid w:val="00E0132C"/>
    <w:rsid w:val="00E1006B"/>
    <w:rsid w:val="00E136BB"/>
    <w:rsid w:val="00E13F05"/>
    <w:rsid w:val="00E26B55"/>
    <w:rsid w:val="00E37015"/>
    <w:rsid w:val="00E37B10"/>
    <w:rsid w:val="00E43AE4"/>
    <w:rsid w:val="00E43F9D"/>
    <w:rsid w:val="00E445D8"/>
    <w:rsid w:val="00E47A3D"/>
    <w:rsid w:val="00E52191"/>
    <w:rsid w:val="00E537B3"/>
    <w:rsid w:val="00E56720"/>
    <w:rsid w:val="00E56887"/>
    <w:rsid w:val="00E570A8"/>
    <w:rsid w:val="00E70A4F"/>
    <w:rsid w:val="00E73D38"/>
    <w:rsid w:val="00EA15A4"/>
    <w:rsid w:val="00EA457A"/>
    <w:rsid w:val="00EA48FC"/>
    <w:rsid w:val="00EA5F9B"/>
    <w:rsid w:val="00EB44F4"/>
    <w:rsid w:val="00EC2490"/>
    <w:rsid w:val="00ED06AE"/>
    <w:rsid w:val="00ED52FF"/>
    <w:rsid w:val="00EE4CEA"/>
    <w:rsid w:val="00EF4EA3"/>
    <w:rsid w:val="00EF5972"/>
    <w:rsid w:val="00EF7A6D"/>
    <w:rsid w:val="00EF7E94"/>
    <w:rsid w:val="00F022E3"/>
    <w:rsid w:val="00F11AC4"/>
    <w:rsid w:val="00F1323D"/>
    <w:rsid w:val="00F150C9"/>
    <w:rsid w:val="00F40C75"/>
    <w:rsid w:val="00F41DA5"/>
    <w:rsid w:val="00F453E6"/>
    <w:rsid w:val="00F47DEC"/>
    <w:rsid w:val="00F50D6E"/>
    <w:rsid w:val="00F73370"/>
    <w:rsid w:val="00F73B1B"/>
    <w:rsid w:val="00F76D70"/>
    <w:rsid w:val="00F81856"/>
    <w:rsid w:val="00F83AAE"/>
    <w:rsid w:val="00F97C5B"/>
    <w:rsid w:val="00FA09F6"/>
    <w:rsid w:val="00FB2413"/>
    <w:rsid w:val="00FB4D98"/>
    <w:rsid w:val="00FC6C98"/>
    <w:rsid w:val="00FC7757"/>
    <w:rsid w:val="00FD40F6"/>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314BC"/>
  <w15:docId w15:val="{0DCE6153-E810-4575-BA03-39C3F6AD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2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49"/>
    <w:pPr>
      <w:ind w:left="720"/>
    </w:pPr>
  </w:style>
  <w:style w:type="character" w:styleId="Hyperlink">
    <w:name w:val="Hyperlink"/>
    <w:uiPriority w:val="99"/>
    <w:unhideWhenUsed/>
    <w:rsid w:val="002077EE"/>
    <w:rPr>
      <w:color w:val="0000FF"/>
      <w:u w:val="single"/>
    </w:rPr>
  </w:style>
  <w:style w:type="character" w:styleId="CommentReference">
    <w:name w:val="annotation reference"/>
    <w:uiPriority w:val="99"/>
    <w:semiHidden/>
    <w:unhideWhenUsed/>
    <w:rsid w:val="001D3C62"/>
    <w:rPr>
      <w:sz w:val="16"/>
      <w:szCs w:val="16"/>
    </w:rPr>
  </w:style>
  <w:style w:type="paragraph" w:styleId="CommentText">
    <w:name w:val="annotation text"/>
    <w:basedOn w:val="Normal"/>
    <w:link w:val="CommentTextChar"/>
    <w:uiPriority w:val="99"/>
    <w:unhideWhenUsed/>
    <w:rsid w:val="001D3C62"/>
    <w:rPr>
      <w:sz w:val="20"/>
      <w:szCs w:val="20"/>
    </w:rPr>
  </w:style>
  <w:style w:type="character" w:customStyle="1" w:styleId="CommentTextChar">
    <w:name w:val="Comment Text Char"/>
    <w:basedOn w:val="DefaultParagraphFont"/>
    <w:link w:val="CommentText"/>
    <w:uiPriority w:val="99"/>
    <w:rsid w:val="001D3C62"/>
  </w:style>
  <w:style w:type="paragraph" w:styleId="CommentSubject">
    <w:name w:val="annotation subject"/>
    <w:basedOn w:val="CommentText"/>
    <w:next w:val="CommentText"/>
    <w:link w:val="CommentSubjectChar"/>
    <w:uiPriority w:val="99"/>
    <w:semiHidden/>
    <w:unhideWhenUsed/>
    <w:rsid w:val="001D3C62"/>
    <w:rPr>
      <w:b/>
      <w:bCs/>
    </w:rPr>
  </w:style>
  <w:style w:type="character" w:customStyle="1" w:styleId="CommentSubjectChar">
    <w:name w:val="Comment Subject Char"/>
    <w:link w:val="CommentSubject"/>
    <w:uiPriority w:val="99"/>
    <w:semiHidden/>
    <w:rsid w:val="001D3C62"/>
    <w:rPr>
      <w:b/>
      <w:bCs/>
    </w:rPr>
  </w:style>
  <w:style w:type="paragraph" w:styleId="BalloonText">
    <w:name w:val="Balloon Text"/>
    <w:basedOn w:val="Normal"/>
    <w:link w:val="BalloonTextChar"/>
    <w:uiPriority w:val="99"/>
    <w:semiHidden/>
    <w:unhideWhenUsed/>
    <w:rsid w:val="001D3C62"/>
    <w:rPr>
      <w:rFonts w:ascii="Tahoma" w:hAnsi="Tahoma" w:cs="Tahoma"/>
      <w:sz w:val="16"/>
      <w:szCs w:val="16"/>
    </w:rPr>
  </w:style>
  <w:style w:type="character" w:customStyle="1" w:styleId="BalloonTextChar">
    <w:name w:val="Balloon Text Char"/>
    <w:link w:val="BalloonText"/>
    <w:uiPriority w:val="99"/>
    <w:semiHidden/>
    <w:rsid w:val="001D3C62"/>
    <w:rPr>
      <w:rFonts w:ascii="Tahoma" w:hAnsi="Tahoma" w:cs="Tahoma"/>
      <w:sz w:val="16"/>
      <w:szCs w:val="16"/>
    </w:rPr>
  </w:style>
  <w:style w:type="paragraph" w:styleId="Header">
    <w:name w:val="header"/>
    <w:basedOn w:val="Normal"/>
    <w:link w:val="HeaderChar"/>
    <w:uiPriority w:val="99"/>
    <w:unhideWhenUsed/>
    <w:rsid w:val="00683A08"/>
    <w:pPr>
      <w:tabs>
        <w:tab w:val="center" w:pos="4680"/>
        <w:tab w:val="right" w:pos="9360"/>
      </w:tabs>
    </w:pPr>
  </w:style>
  <w:style w:type="character" w:customStyle="1" w:styleId="HeaderChar">
    <w:name w:val="Header Char"/>
    <w:link w:val="Header"/>
    <w:uiPriority w:val="99"/>
    <w:rsid w:val="00683A08"/>
    <w:rPr>
      <w:sz w:val="22"/>
      <w:szCs w:val="22"/>
    </w:rPr>
  </w:style>
  <w:style w:type="paragraph" w:styleId="Footer">
    <w:name w:val="footer"/>
    <w:basedOn w:val="Normal"/>
    <w:link w:val="FooterChar"/>
    <w:uiPriority w:val="99"/>
    <w:unhideWhenUsed/>
    <w:rsid w:val="00683A08"/>
    <w:pPr>
      <w:tabs>
        <w:tab w:val="center" w:pos="4680"/>
        <w:tab w:val="right" w:pos="9360"/>
      </w:tabs>
    </w:pPr>
  </w:style>
  <w:style w:type="character" w:customStyle="1" w:styleId="FooterChar">
    <w:name w:val="Footer Char"/>
    <w:link w:val="Footer"/>
    <w:uiPriority w:val="99"/>
    <w:rsid w:val="00683A08"/>
    <w:rPr>
      <w:sz w:val="22"/>
      <w:szCs w:val="22"/>
    </w:rPr>
  </w:style>
  <w:style w:type="paragraph" w:customStyle="1" w:styleId="Default">
    <w:name w:val="Default"/>
    <w:rsid w:val="004B34A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FC7757"/>
    <w:rPr>
      <w:sz w:val="22"/>
      <w:szCs w:val="22"/>
    </w:rPr>
  </w:style>
  <w:style w:type="character" w:styleId="FollowedHyperlink">
    <w:name w:val="FollowedHyperlink"/>
    <w:basedOn w:val="DefaultParagraphFont"/>
    <w:uiPriority w:val="99"/>
    <w:semiHidden/>
    <w:unhideWhenUsed/>
    <w:rsid w:val="00A73857"/>
    <w:rPr>
      <w:color w:val="800080" w:themeColor="followedHyperlink"/>
      <w:u w:val="single"/>
    </w:rPr>
  </w:style>
  <w:style w:type="table" w:styleId="TableGrid">
    <w:name w:val="Table Grid"/>
    <w:basedOn w:val="TableNormal"/>
    <w:uiPriority w:val="59"/>
    <w:rsid w:val="0059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1BB4"/>
    <w:rPr>
      <w:sz w:val="20"/>
      <w:szCs w:val="20"/>
    </w:rPr>
  </w:style>
  <w:style w:type="character" w:customStyle="1" w:styleId="FootnoteTextChar">
    <w:name w:val="Footnote Text Char"/>
    <w:basedOn w:val="DefaultParagraphFont"/>
    <w:link w:val="FootnoteText"/>
    <w:uiPriority w:val="99"/>
    <w:semiHidden/>
    <w:rsid w:val="00D41BB4"/>
  </w:style>
  <w:style w:type="character" w:styleId="FootnoteReference">
    <w:name w:val="footnote reference"/>
    <w:basedOn w:val="DefaultParagraphFont"/>
    <w:uiPriority w:val="99"/>
    <w:semiHidden/>
    <w:unhideWhenUsed/>
    <w:rsid w:val="00D41BB4"/>
    <w:rPr>
      <w:vertAlign w:val="superscript"/>
    </w:rPr>
  </w:style>
  <w:style w:type="character" w:styleId="UnresolvedMention">
    <w:name w:val="Unresolved Mention"/>
    <w:basedOn w:val="DefaultParagraphFont"/>
    <w:uiPriority w:val="99"/>
    <w:semiHidden/>
    <w:unhideWhenUsed/>
    <w:rsid w:val="00B0264D"/>
    <w:rPr>
      <w:color w:val="605E5C"/>
      <w:shd w:val="clear" w:color="auto" w:fill="E1DFDD"/>
    </w:rPr>
  </w:style>
  <w:style w:type="paragraph" w:styleId="NoSpacing">
    <w:name w:val="No Spacing"/>
    <w:uiPriority w:val="1"/>
    <w:qFormat/>
    <w:rsid w:val="00B026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9984">
      <w:bodyDiv w:val="1"/>
      <w:marLeft w:val="0"/>
      <w:marRight w:val="0"/>
      <w:marTop w:val="0"/>
      <w:marBottom w:val="0"/>
      <w:divBdr>
        <w:top w:val="none" w:sz="0" w:space="0" w:color="auto"/>
        <w:left w:val="none" w:sz="0" w:space="0" w:color="auto"/>
        <w:bottom w:val="none" w:sz="0" w:space="0" w:color="auto"/>
        <w:right w:val="none" w:sz="0" w:space="0" w:color="auto"/>
      </w:divBdr>
    </w:div>
    <w:div w:id="611014424">
      <w:bodyDiv w:val="1"/>
      <w:marLeft w:val="0"/>
      <w:marRight w:val="0"/>
      <w:marTop w:val="0"/>
      <w:marBottom w:val="0"/>
      <w:divBdr>
        <w:top w:val="none" w:sz="0" w:space="0" w:color="auto"/>
        <w:left w:val="none" w:sz="0" w:space="0" w:color="auto"/>
        <w:bottom w:val="none" w:sz="0" w:space="0" w:color="auto"/>
        <w:right w:val="none" w:sz="0" w:space="0" w:color="auto"/>
      </w:divBdr>
      <w:divsChild>
        <w:div w:id="764765936">
          <w:marLeft w:val="547"/>
          <w:marRight w:val="0"/>
          <w:marTop w:val="0"/>
          <w:marBottom w:val="0"/>
          <w:divBdr>
            <w:top w:val="none" w:sz="0" w:space="0" w:color="auto"/>
            <w:left w:val="none" w:sz="0" w:space="0" w:color="auto"/>
            <w:bottom w:val="none" w:sz="0" w:space="0" w:color="auto"/>
            <w:right w:val="none" w:sz="0" w:space="0" w:color="auto"/>
          </w:divBdr>
        </w:div>
      </w:divsChild>
    </w:div>
    <w:div w:id="1094740404">
      <w:bodyDiv w:val="1"/>
      <w:marLeft w:val="0"/>
      <w:marRight w:val="0"/>
      <w:marTop w:val="0"/>
      <w:marBottom w:val="0"/>
      <w:divBdr>
        <w:top w:val="none" w:sz="0" w:space="0" w:color="auto"/>
        <w:left w:val="none" w:sz="0" w:space="0" w:color="auto"/>
        <w:bottom w:val="none" w:sz="0" w:space="0" w:color="auto"/>
        <w:right w:val="none" w:sz="0" w:space="0" w:color="auto"/>
      </w:divBdr>
    </w:div>
    <w:div w:id="1583027419">
      <w:bodyDiv w:val="1"/>
      <w:marLeft w:val="0"/>
      <w:marRight w:val="0"/>
      <w:marTop w:val="0"/>
      <w:marBottom w:val="0"/>
      <w:divBdr>
        <w:top w:val="none" w:sz="0" w:space="0" w:color="auto"/>
        <w:left w:val="none" w:sz="0" w:space="0" w:color="auto"/>
        <w:bottom w:val="none" w:sz="0" w:space="0" w:color="auto"/>
        <w:right w:val="none" w:sz="0" w:space="0" w:color="auto"/>
      </w:divBdr>
      <w:divsChild>
        <w:div w:id="1907035900">
          <w:marLeft w:val="547"/>
          <w:marRight w:val="0"/>
          <w:marTop w:val="0"/>
          <w:marBottom w:val="0"/>
          <w:divBdr>
            <w:top w:val="none" w:sz="0" w:space="0" w:color="auto"/>
            <w:left w:val="none" w:sz="0" w:space="0" w:color="auto"/>
            <w:bottom w:val="none" w:sz="0" w:space="0" w:color="auto"/>
            <w:right w:val="none" w:sz="0" w:space="0" w:color="auto"/>
          </w:divBdr>
        </w:div>
      </w:divsChild>
    </w:div>
    <w:div w:id="17460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osu.edu/wp-content/uploads/policy31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docusign.com/send/templates/details/8b9974b1-5455-4e69-8ea1-280bbe7b5456" TargetMode="External"/><Relationship Id="rId4" Type="http://schemas.openxmlformats.org/officeDocument/2006/relationships/settings" Target="settings.xml"/><Relationship Id="rId9" Type="http://schemas.openxmlformats.org/officeDocument/2006/relationships/hyperlink" Target="https://go.osu.edu/ehehractionfo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A9BF7C-2FB9-437B-AB8B-0A5CF050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Business Operations</Company>
  <LinksUpToDate>false</LinksUpToDate>
  <CharactersWithSpaces>5366</CharactersWithSpaces>
  <SharedDoc>false</SharedDoc>
  <HLinks>
    <vt:vector size="18" baseType="variant">
      <vt:variant>
        <vt:i4>7274507</vt:i4>
      </vt:variant>
      <vt:variant>
        <vt:i4>6</vt:i4>
      </vt:variant>
      <vt:variant>
        <vt:i4>0</vt:i4>
      </vt:variant>
      <vt:variant>
        <vt:i4>5</vt:i4>
      </vt:variant>
      <vt:variant>
        <vt:lpwstr>http://busfin.osu.edu/FileStore/PDFs/BackgroundCheckRequestForm_fillable.pdf</vt:lpwstr>
      </vt:variant>
      <vt:variant>
        <vt:lpwstr/>
      </vt:variant>
      <vt:variant>
        <vt:i4>3407909</vt:i4>
      </vt:variant>
      <vt:variant>
        <vt:i4>3</vt:i4>
      </vt:variant>
      <vt:variant>
        <vt:i4>0</vt:i4>
      </vt:variant>
      <vt:variant>
        <vt:i4>5</vt:i4>
      </vt:variant>
      <vt:variant>
        <vt:lpwstr>http://hr.osu.edu/policy/resources/415standards.pdf</vt:lpwstr>
      </vt:variant>
      <vt:variant>
        <vt:lpwstr/>
      </vt:variant>
      <vt:variant>
        <vt:i4>7077925</vt:i4>
      </vt:variant>
      <vt:variant>
        <vt:i4>0</vt:i4>
      </vt:variant>
      <vt:variant>
        <vt:i4>0</vt:i4>
      </vt:variant>
      <vt:variant>
        <vt:i4>5</vt:i4>
      </vt:variant>
      <vt:variant>
        <vt:lpwstr>http://hr.osu.edu/policy/policy415.pdf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jlang</dc:creator>
  <cp:lastModifiedBy>Lloyd, Paige</cp:lastModifiedBy>
  <cp:revision>2</cp:revision>
  <cp:lastPrinted>2025-06-17T12:05:00Z</cp:lastPrinted>
  <dcterms:created xsi:type="dcterms:W3CDTF">2025-06-17T17:42:00Z</dcterms:created>
  <dcterms:modified xsi:type="dcterms:W3CDTF">2025-06-17T17:42:00Z</dcterms:modified>
</cp:coreProperties>
</file>