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072387" w14:textId="6F130E1F" w:rsidR="00A16501" w:rsidRDefault="00A16501">
      <w:pPr>
        <w:pStyle w:val="BodyText"/>
        <w:spacing w:before="2"/>
        <w:rPr>
          <w:rFonts w:ascii="Times New Roman"/>
          <w:sz w:val="15"/>
        </w:rPr>
      </w:pPr>
    </w:p>
    <w:p w14:paraId="71072388" w14:textId="1F71D28A" w:rsidR="00A16501" w:rsidRDefault="00931DC7">
      <w:pPr>
        <w:tabs>
          <w:tab w:val="left" w:pos="1579"/>
        </w:tabs>
        <w:spacing w:before="94"/>
        <w:ind w:left="140"/>
        <w:rPr>
          <w:sz w:val="20"/>
        </w:rPr>
      </w:pPr>
      <w:r>
        <w:rPr>
          <w:noProof/>
        </w:rPr>
        <mc:AlternateContent>
          <mc:Choice Requires="wps">
            <w:drawing>
              <wp:anchor distT="0" distB="0" distL="0" distR="0" simplePos="0" relativeHeight="251654656" behindDoc="1" locked="0" layoutInCell="1" allowOverlap="1" wp14:anchorId="710723DA" wp14:editId="5113FCA2">
                <wp:simplePos x="0" y="0"/>
                <wp:positionH relativeFrom="page">
                  <wp:posOffset>666750</wp:posOffset>
                </wp:positionH>
                <wp:positionV relativeFrom="paragraph">
                  <wp:posOffset>219075</wp:posOffset>
                </wp:positionV>
                <wp:extent cx="6438900" cy="6350"/>
                <wp:effectExtent l="0" t="0" r="0" b="0"/>
                <wp:wrapTopAndBottom/>
                <wp:docPr id="8" name="docshape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890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3A5F64" id="docshape3" o:spid="_x0000_s1026" style="position:absolute;margin-left:52.5pt;margin-top:17.25pt;width:507pt;height:.5pt;z-index:-2516618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" fillcolor="black" stroked="f">
                <w10:wrap type="topAndBottom" anchorx="page"/>
              </v:rect>
            </w:pict>
          </mc:Fallback>
        </mc:AlternateContent>
      </w:r>
      <w:r w:rsidR="00371DB0">
        <w:rPr>
          <w:spacing w:val="-2"/>
          <w:sz w:val="20"/>
        </w:rPr>
        <w:t>Adopted:</w:t>
      </w:r>
      <w:r w:rsidR="00125BB5">
        <w:rPr>
          <w:spacing w:val="-2"/>
          <w:sz w:val="20"/>
        </w:rPr>
        <w:t xml:space="preserve"> </w:t>
      </w:r>
      <w:r w:rsidR="00371DB0">
        <w:rPr>
          <w:spacing w:val="-2"/>
          <w:sz w:val="20"/>
        </w:rPr>
        <w:t>04/01/2018</w:t>
      </w:r>
      <w:r w:rsidR="00113906">
        <w:rPr>
          <w:spacing w:val="-2"/>
          <w:sz w:val="20"/>
        </w:rPr>
        <w:tab/>
      </w:r>
      <w:r w:rsidR="00113906">
        <w:rPr>
          <w:spacing w:val="-2"/>
          <w:sz w:val="20"/>
        </w:rPr>
        <w:tab/>
      </w:r>
      <w:r w:rsidR="00113906">
        <w:rPr>
          <w:spacing w:val="-2"/>
          <w:sz w:val="20"/>
        </w:rPr>
        <w:tab/>
      </w:r>
      <w:r w:rsidR="00113906">
        <w:rPr>
          <w:spacing w:val="-2"/>
          <w:sz w:val="20"/>
        </w:rPr>
        <w:tab/>
      </w:r>
      <w:r w:rsidR="00113906">
        <w:rPr>
          <w:spacing w:val="-2"/>
          <w:sz w:val="20"/>
        </w:rPr>
        <w:tab/>
      </w:r>
      <w:r w:rsidR="00113906">
        <w:rPr>
          <w:spacing w:val="-2"/>
          <w:sz w:val="20"/>
        </w:rPr>
        <w:tab/>
      </w:r>
      <w:r w:rsidR="00113906">
        <w:rPr>
          <w:spacing w:val="-2"/>
          <w:sz w:val="20"/>
        </w:rPr>
        <w:tab/>
      </w:r>
      <w:r w:rsidR="00113906">
        <w:rPr>
          <w:spacing w:val="-2"/>
          <w:sz w:val="20"/>
        </w:rPr>
        <w:tab/>
      </w:r>
      <w:r w:rsidR="00125BB5">
        <w:rPr>
          <w:spacing w:val="-2"/>
          <w:sz w:val="20"/>
        </w:rPr>
        <w:tab/>
      </w:r>
      <w:r w:rsidR="00113906">
        <w:rPr>
          <w:spacing w:val="-2"/>
          <w:sz w:val="20"/>
        </w:rPr>
        <w:t xml:space="preserve">Revised: </w:t>
      </w:r>
      <w:r w:rsidR="00125BB5">
        <w:rPr>
          <w:spacing w:val="-2"/>
          <w:sz w:val="20"/>
        </w:rPr>
        <w:t xml:space="preserve">April </w:t>
      </w:r>
      <w:r w:rsidR="00C774BD">
        <w:rPr>
          <w:spacing w:val="-2"/>
          <w:sz w:val="20"/>
        </w:rPr>
        <w:t>2025</w:t>
      </w:r>
    </w:p>
    <w:p w14:paraId="71072389" w14:textId="77777777" w:rsidR="00A16501" w:rsidRDefault="00A16501">
      <w:pPr>
        <w:pStyle w:val="BodyText"/>
        <w:rPr>
          <w:sz w:val="16"/>
        </w:rPr>
      </w:pPr>
    </w:p>
    <w:p w14:paraId="505EA278" w14:textId="77777777" w:rsidR="00AB13D5" w:rsidRDefault="00AB13D5">
      <w:pPr>
        <w:pStyle w:val="Heading1"/>
      </w:pPr>
    </w:p>
    <w:p w14:paraId="7107238A" w14:textId="22EBEFE3" w:rsidR="00A16501" w:rsidRDefault="00931DC7">
      <w:pPr>
        <w:pStyle w:val="Heading1"/>
      </w:pPr>
      <w:r>
        <w:rPr>
          <w:noProof/>
        </w:rPr>
        <mc:AlternateContent>
          <mc:Choice Requires="wps">
            <w:drawing>
              <wp:anchor distT="0" distB="0" distL="0" distR="0" simplePos="0" relativeHeight="251655680" behindDoc="1" locked="0" layoutInCell="1" allowOverlap="1" wp14:anchorId="710723DB" wp14:editId="65ECFF73">
                <wp:simplePos x="0" y="0"/>
                <wp:positionH relativeFrom="page">
                  <wp:posOffset>666750</wp:posOffset>
                </wp:positionH>
                <wp:positionV relativeFrom="paragraph">
                  <wp:posOffset>246380</wp:posOffset>
                </wp:positionV>
                <wp:extent cx="6438900" cy="6350"/>
                <wp:effectExtent l="0" t="0" r="0" b="0"/>
                <wp:wrapTopAndBottom/>
                <wp:docPr id="7" name="docshape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890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296A2E" id="docshape4" o:spid="_x0000_s1026" style="position:absolute;margin-left:52.5pt;margin-top:19.4pt;width:507pt;height:.5pt;z-index:-2516608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" fillcolor="black" stroked="f">
                <w10:wrap type="topAndBottom" anchorx="page"/>
              </v:rect>
            </w:pict>
          </mc:Fallback>
        </mc:AlternateContent>
      </w:r>
      <w:r w:rsidR="008767C9">
        <w:t>PURPOSE</w:t>
      </w:r>
    </w:p>
    <w:p w14:paraId="7107238B" w14:textId="77777777" w:rsidR="00A16501" w:rsidRDefault="00A16501">
      <w:pPr>
        <w:pStyle w:val="BodyText"/>
        <w:spacing w:before="8"/>
        <w:rPr>
          <w:b/>
          <w:sz w:val="13"/>
        </w:rPr>
      </w:pPr>
    </w:p>
    <w:p w14:paraId="44AF6201" w14:textId="2B3555B8" w:rsidR="00D05F52" w:rsidRDefault="006C1AFF" w:rsidP="006C1AFF">
      <w:pPr>
        <w:pStyle w:val="BodyText"/>
      </w:pPr>
      <w:r w:rsidRPr="006C1AFF">
        <w:t>The College of Education and Human Ecology conducts background checks (BGCs) through the university-approved third-party vendor for all new and returning Independent Contractors/Consultants</w:t>
      </w:r>
      <w:r w:rsidR="002F545F">
        <w:t xml:space="preserve"> (IDC)</w:t>
      </w:r>
      <w:r w:rsidRPr="006C1AFF">
        <w:t xml:space="preserve"> and Volunteers</w:t>
      </w:r>
      <w:r w:rsidR="007279C9">
        <w:t xml:space="preserve"> (V)</w:t>
      </w:r>
      <w:r w:rsidRPr="006C1AFF">
        <w:t>.</w:t>
      </w:r>
      <w:r w:rsidR="00D05F52" w:rsidRPr="00D05F52">
        <w:rPr>
          <w:rFonts w:ascii="Helvetica" w:hAnsi="Helvetica" w:cs="Times New Roman"/>
          <w:color w:val="3F4443"/>
          <w:sz w:val="26"/>
          <w:szCs w:val="26"/>
        </w:rPr>
        <w:t xml:space="preserve"> </w:t>
      </w:r>
      <w:r w:rsidR="00D05F52" w:rsidRPr="00D05F52">
        <w:rPr>
          <w:color w:val="3F4443"/>
        </w:rPr>
        <w:t>If you plan to hire certain types of individuals or businesses for work in your area, requirements must be followed to ensure they are correctly classified as employees or independent contractors. The </w:t>
      </w:r>
      <w:hyperlink r:id="rId11" w:tgtFrame="_blank" w:history="1">
        <w:r w:rsidR="00D05F52" w:rsidRPr="00D05F52">
          <w:rPr>
            <w:rStyle w:val="Hyperlink"/>
            <w:color w:val="0000FF"/>
          </w:rPr>
          <w:t>Independent Contractor Guidelines</w:t>
        </w:r>
      </w:hyperlink>
      <w:r w:rsidR="00D05F52" w:rsidRPr="00D05F52">
        <w:rPr>
          <w:color w:val="3F4443"/>
        </w:rPr>
        <w:t>, issued by Ohio State Business and Finance, provide an overview of the process for how to evaluate independent contractors and are available on the </w:t>
      </w:r>
      <w:hyperlink r:id="rId12" w:tgtFrame="_blank" w:history="1">
        <w:r w:rsidR="00D05F52" w:rsidRPr="00D05F52">
          <w:rPr>
            <w:rStyle w:val="Hyperlink"/>
            <w:color w:val="0000FF"/>
          </w:rPr>
          <w:t>Purchasing website</w:t>
        </w:r>
      </w:hyperlink>
      <w:r w:rsidR="00D05F52" w:rsidRPr="00D05F52">
        <w:rPr>
          <w:color w:val="3F4443"/>
        </w:rPr>
        <w:t>. </w:t>
      </w:r>
    </w:p>
    <w:p w14:paraId="2B82EEC8" w14:textId="79F12D60" w:rsidR="006C1AFF" w:rsidRDefault="00D05F52" w:rsidP="006C1AFF">
      <w:pPr>
        <w:pStyle w:val="BodyText"/>
      </w:pPr>
      <w:r w:rsidRPr="00D05F52">
        <w:br/>
      </w:r>
      <w:r w:rsidR="006C1AFF" w:rsidRPr="006C1AFF">
        <w:t xml:space="preserve">Background checks </w:t>
      </w:r>
      <w:r w:rsidR="006C1AFF" w:rsidRPr="006C1AFF">
        <w:rPr>
          <w:b/>
          <w:bCs/>
          <w:u w:val="single"/>
        </w:rPr>
        <w:t xml:space="preserve">must be </w:t>
      </w:r>
      <w:r w:rsidR="006C1AFF" w:rsidRPr="006C1AFF">
        <w:t xml:space="preserve">completed </w:t>
      </w:r>
      <w:r w:rsidR="006C1AFF" w:rsidRPr="006C1AFF">
        <w:rPr>
          <w:b/>
          <w:bCs/>
          <w:u w:val="single"/>
        </w:rPr>
        <w:t>prior to</w:t>
      </w:r>
      <w:r w:rsidR="006C1AFF" w:rsidRPr="006C1AFF">
        <w:t xml:space="preserve"> the individual beginning any work with the university. A new background check is only required if there has been a break in service of more than 12 months.</w:t>
      </w:r>
      <w:r w:rsidR="008D1380">
        <w:t xml:space="preserve"> The following guidelines will support the evaluation and approval process in determining if the individual needs to be hired as a</w:t>
      </w:r>
      <w:r w:rsidR="00E02BDB">
        <w:t>n</w:t>
      </w:r>
      <w:r w:rsidR="008D1380">
        <w:t xml:space="preserve"> IDC</w:t>
      </w:r>
      <w:r w:rsidR="00F241ED">
        <w:t>/V</w:t>
      </w:r>
      <w:r w:rsidR="008D1380">
        <w:t xml:space="preserve"> or an employee. </w:t>
      </w:r>
    </w:p>
    <w:p w14:paraId="0C4E3D95" w14:textId="77777777" w:rsidR="006C1AFF" w:rsidRPr="006C1AFF" w:rsidRDefault="006C1AFF" w:rsidP="006C1AFF">
      <w:pPr>
        <w:pStyle w:val="BodyText"/>
      </w:pPr>
    </w:p>
    <w:p w14:paraId="5D521DFA" w14:textId="77777777" w:rsidR="00B5144D" w:rsidRDefault="00B5144D" w:rsidP="006C1AFF">
      <w:pPr>
        <w:pStyle w:val="BodyText"/>
        <w:rPr>
          <w:b/>
          <w:bCs/>
        </w:rPr>
      </w:pPr>
    </w:p>
    <w:p w14:paraId="590F3769" w14:textId="09D57765" w:rsidR="006C1AFF" w:rsidRPr="006C1AFF" w:rsidRDefault="006C1AFF" w:rsidP="006C1AFF">
      <w:pPr>
        <w:pStyle w:val="BodyText"/>
        <w:rPr>
          <w:b/>
          <w:bCs/>
        </w:rPr>
      </w:pPr>
      <w:r w:rsidRPr="006C1AFF">
        <w:rPr>
          <w:b/>
          <w:bCs/>
        </w:rPr>
        <w:t>The following guiding principles are intended to:</w:t>
      </w:r>
    </w:p>
    <w:p w14:paraId="37CD9F4C" w14:textId="77777777" w:rsidR="006C1AFF" w:rsidRPr="006C1AFF" w:rsidRDefault="006C1AFF" w:rsidP="006C1AFF">
      <w:pPr>
        <w:pStyle w:val="BodyText"/>
        <w:numPr>
          <w:ilvl w:val="0"/>
          <w:numId w:val="9"/>
        </w:numPr>
      </w:pPr>
      <w:r w:rsidRPr="006C1AFF">
        <w:t>Provide transparency in the process and clarify the information required for Independent Contractor/Consultant (IDC) approval</w:t>
      </w:r>
    </w:p>
    <w:p w14:paraId="6664EC84" w14:textId="77777777" w:rsidR="006C1AFF" w:rsidRPr="006C1AFF" w:rsidRDefault="006C1AFF" w:rsidP="006C1AFF">
      <w:pPr>
        <w:pStyle w:val="BodyText"/>
        <w:numPr>
          <w:ilvl w:val="0"/>
          <w:numId w:val="9"/>
        </w:numPr>
      </w:pPr>
      <w:r w:rsidRPr="006C1AFF">
        <w:t>Support the evaluation of employee versus contractor relationships</w:t>
      </w:r>
    </w:p>
    <w:p w14:paraId="48D26FDA" w14:textId="77777777" w:rsidR="006C1AFF" w:rsidRPr="006C1AFF" w:rsidRDefault="006C1AFF" w:rsidP="006C1AFF">
      <w:pPr>
        <w:pStyle w:val="BodyText"/>
        <w:numPr>
          <w:ilvl w:val="0"/>
          <w:numId w:val="9"/>
        </w:numPr>
      </w:pPr>
      <w:r w:rsidRPr="006C1AFF">
        <w:t>Outline rules that apply consistently, with no exceptions regardless of individual evaluations</w:t>
      </w:r>
    </w:p>
    <w:p w14:paraId="4C19C740" w14:textId="77777777" w:rsidR="006C1AFF" w:rsidRDefault="006C1AFF" w:rsidP="006C1AFF">
      <w:pPr>
        <w:pStyle w:val="BodyText"/>
        <w:numPr>
          <w:ilvl w:val="0"/>
          <w:numId w:val="9"/>
        </w:numPr>
      </w:pPr>
      <w:r w:rsidRPr="006C1AFF">
        <w:t>Clarify that hiring professional services from a business already under contract with Ohio State does not require further evaluation</w:t>
      </w:r>
    </w:p>
    <w:p w14:paraId="31314A06" w14:textId="4D21086A" w:rsidR="004375C8" w:rsidRDefault="004375C8" w:rsidP="006C1AFF">
      <w:pPr>
        <w:pStyle w:val="BodyText"/>
        <w:numPr>
          <w:ilvl w:val="0"/>
          <w:numId w:val="9"/>
        </w:numPr>
      </w:pPr>
      <w:r>
        <w:t xml:space="preserve">Any background check outside of the Recruit to Hire process are </w:t>
      </w:r>
      <w:r w:rsidR="00456A3A">
        <w:t>the IDC financial responsibility</w:t>
      </w:r>
      <w:r>
        <w:t xml:space="preserve"> college</w:t>
      </w:r>
    </w:p>
    <w:p w14:paraId="7FD1B207" w14:textId="77777777" w:rsidR="00AD38A2" w:rsidRDefault="00AD38A2" w:rsidP="00AD38A2">
      <w:pPr>
        <w:pStyle w:val="BodyText"/>
      </w:pPr>
    </w:p>
    <w:p w14:paraId="219619CA" w14:textId="77777777" w:rsidR="00C75CD2" w:rsidRDefault="00C75CD2" w:rsidP="00AD38A2">
      <w:pPr>
        <w:pStyle w:val="BodyText"/>
      </w:pPr>
    </w:p>
    <w:p w14:paraId="7FEF458F" w14:textId="5A70DA43" w:rsidR="00AD38A2" w:rsidRDefault="008D1380" w:rsidP="00AD38A2">
      <w:pPr>
        <w:pStyle w:val="BodyText"/>
      </w:pPr>
      <w:r>
        <w:t xml:space="preserve">These guidelines will be applied consistently with the following university policies: </w:t>
      </w:r>
    </w:p>
    <w:p w14:paraId="544217EE" w14:textId="1B07DC22" w:rsidR="008D1380" w:rsidRDefault="002C1334" w:rsidP="008D1380">
      <w:pPr>
        <w:pStyle w:val="BodyText"/>
        <w:numPr>
          <w:ilvl w:val="0"/>
          <w:numId w:val="10"/>
        </w:numPr>
      </w:pPr>
      <w:hyperlink r:id="rId13" w:history="1">
        <w:r w:rsidRPr="00350123">
          <w:rPr>
            <w:rStyle w:val="Hyperlink"/>
          </w:rPr>
          <w:t>https://hr.osu.edu/wp-content/uploads/policy415.pdf</w:t>
        </w:r>
      </w:hyperlink>
      <w:r>
        <w:t xml:space="preserve"> </w:t>
      </w:r>
    </w:p>
    <w:p w14:paraId="08263DE5" w14:textId="553BDC5C" w:rsidR="002C1334" w:rsidRDefault="0048700E" w:rsidP="008D1380">
      <w:pPr>
        <w:pStyle w:val="BodyText"/>
        <w:numPr>
          <w:ilvl w:val="0"/>
          <w:numId w:val="10"/>
        </w:numPr>
      </w:pPr>
      <w:hyperlink r:id="rId14" w:history="1">
        <w:r w:rsidRPr="00350123">
          <w:rPr>
            <w:rStyle w:val="Hyperlink"/>
          </w:rPr>
          <w:t>https://hr.osu.edu/wp-content/uploads/policy417.pdf</w:t>
        </w:r>
      </w:hyperlink>
      <w:r>
        <w:t xml:space="preserve"> </w:t>
      </w:r>
    </w:p>
    <w:p w14:paraId="132A322B" w14:textId="77777777" w:rsidR="00AB13D5" w:rsidRDefault="00AB13D5" w:rsidP="00AB13D5">
      <w:pPr>
        <w:pStyle w:val="BodyText"/>
        <w:ind w:left="720"/>
      </w:pPr>
    </w:p>
    <w:p w14:paraId="4D261A5E" w14:textId="77777777" w:rsidR="00AB13D5" w:rsidRDefault="00AB13D5" w:rsidP="00AB13D5">
      <w:pPr>
        <w:pStyle w:val="BodyText"/>
        <w:ind w:left="720"/>
      </w:pPr>
    </w:p>
    <w:p w14:paraId="297FB267" w14:textId="686A0F14" w:rsidR="00AB13D5" w:rsidRDefault="00AF2770" w:rsidP="00AF2770">
      <w:pPr>
        <w:pBdr>
          <w:bottom w:val="single" w:sz="4" w:space="0" w:color="auto"/>
        </w:pBdr>
        <w:rPr>
          <w:b/>
          <w:sz w:val="24"/>
        </w:rPr>
      </w:pPr>
      <w:r w:rsidRPr="00700A47">
        <w:rPr>
          <w:b/>
          <w:sz w:val="24"/>
        </w:rPr>
        <w:t>DEFINITION</w:t>
      </w:r>
      <w:r>
        <w:rPr>
          <w:b/>
          <w:sz w:val="24"/>
        </w:rPr>
        <w:t>S</w:t>
      </w:r>
    </w:p>
    <w:p w14:paraId="74EE125B" w14:textId="77777777" w:rsidR="00AF2770" w:rsidRPr="005F72CC" w:rsidRDefault="00AF2770" w:rsidP="00AF2770">
      <w:pPr>
        <w:pStyle w:val="NoSpacing"/>
      </w:pPr>
    </w:p>
    <w:tbl>
      <w:tblPr>
        <w:tblpPr w:leftFromText="180" w:rightFromText="180" w:vertAnchor="text" w:horzAnchor="margin" w:tblpY="-98"/>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80"/>
        <w:gridCol w:w="7716"/>
      </w:tblGrid>
      <w:tr w:rsidR="00FD0D21" w14:paraId="37D8CBB2" w14:textId="77777777" w:rsidTr="00BF5840">
        <w:trPr>
          <w:trHeight w:val="325"/>
        </w:trPr>
        <w:tc>
          <w:tcPr>
            <w:tcW w:w="2280" w:type="dxa"/>
            <w:shd w:val="clear" w:color="auto" w:fill="BB0000"/>
          </w:tcPr>
          <w:p w14:paraId="4FF894FB" w14:textId="77777777" w:rsidR="00FD0D21" w:rsidRDefault="00FD0D21" w:rsidP="00BF5840">
            <w:pPr>
              <w:pStyle w:val="TableParagraph"/>
              <w:spacing w:before="16" w:line="251" w:lineRule="exact"/>
              <w:ind w:left="107"/>
            </w:pPr>
          </w:p>
        </w:tc>
        <w:tc>
          <w:tcPr>
            <w:tcW w:w="7716" w:type="dxa"/>
            <w:shd w:val="clear" w:color="auto" w:fill="BB0000"/>
          </w:tcPr>
          <w:p w14:paraId="0E784AC3" w14:textId="70379E16" w:rsidR="00FD0D21" w:rsidRDefault="00AC565D" w:rsidP="00AC565D">
            <w:pPr>
              <w:pStyle w:val="TableParagraph"/>
              <w:spacing w:before="16" w:line="251" w:lineRule="exact"/>
              <w:ind w:left="108"/>
              <w:jc w:val="center"/>
            </w:pPr>
            <w:r>
              <w:t>Definitions</w:t>
            </w:r>
          </w:p>
        </w:tc>
      </w:tr>
      <w:tr w:rsidR="00FD0D21" w:rsidRPr="006E4532" w14:paraId="33EC9416" w14:textId="77777777" w:rsidTr="00BF5840">
        <w:trPr>
          <w:trHeight w:val="316"/>
        </w:trPr>
        <w:tc>
          <w:tcPr>
            <w:tcW w:w="2280" w:type="dxa"/>
          </w:tcPr>
          <w:p w14:paraId="130B2FA1" w14:textId="77777777" w:rsidR="00FD0D21" w:rsidRPr="006E4532" w:rsidRDefault="00FD0D21" w:rsidP="00BF5840">
            <w:pPr>
              <w:pStyle w:val="TableParagraph"/>
            </w:pPr>
            <w:r w:rsidRPr="006E4532">
              <w:t>Volunteer</w:t>
            </w:r>
          </w:p>
        </w:tc>
        <w:tc>
          <w:tcPr>
            <w:tcW w:w="7716" w:type="dxa"/>
          </w:tcPr>
          <w:p w14:paraId="2F2EDD4D" w14:textId="77777777" w:rsidR="00FD0D21" w:rsidRPr="006E4532" w:rsidRDefault="00FD0D21" w:rsidP="00BF5840">
            <w:pPr>
              <w:pStyle w:val="TableParagraph"/>
              <w:tabs>
                <w:tab w:val="left" w:pos="467"/>
                <w:tab w:val="left" w:pos="468"/>
              </w:tabs>
              <w:ind w:right="496"/>
            </w:pPr>
            <w:r w:rsidRPr="00D72F36">
              <w:t xml:space="preserve">A volunteer is an individual who willingly performs services for the university without compensation. Volunteers will not have a record </w:t>
            </w:r>
            <w:proofErr w:type="gramStart"/>
            <w:r w:rsidRPr="00D72F36">
              <w:t>in</w:t>
            </w:r>
            <w:proofErr w:type="gramEnd"/>
            <w:r w:rsidRPr="00D72F36">
              <w:t xml:space="preserve"> Workday; instead, their processing and tracking will be managed outside of the Workday system.</w:t>
            </w:r>
          </w:p>
        </w:tc>
      </w:tr>
      <w:tr w:rsidR="00FD0D21" w:rsidRPr="006E4532" w14:paraId="2FDFB8C0" w14:textId="77777777" w:rsidTr="00BF5840">
        <w:trPr>
          <w:trHeight w:val="316"/>
        </w:trPr>
        <w:tc>
          <w:tcPr>
            <w:tcW w:w="2280" w:type="dxa"/>
          </w:tcPr>
          <w:p w14:paraId="15F9E3EA" w14:textId="77777777" w:rsidR="00FD0D21" w:rsidRPr="006E4532" w:rsidRDefault="00FD0D21" w:rsidP="00BF5840">
            <w:pPr>
              <w:pStyle w:val="TableParagraph"/>
            </w:pPr>
            <w:r w:rsidRPr="006E4532">
              <w:t>Contractor/Consultant</w:t>
            </w:r>
            <w:r>
              <w:t xml:space="preserve"> (IDC)</w:t>
            </w:r>
          </w:p>
        </w:tc>
        <w:tc>
          <w:tcPr>
            <w:tcW w:w="7716" w:type="dxa"/>
          </w:tcPr>
          <w:p w14:paraId="2EA94C45" w14:textId="77777777" w:rsidR="00FD0D21" w:rsidRPr="006E4532" w:rsidRDefault="00FD0D21" w:rsidP="00BF5840">
            <w:pPr>
              <w:pStyle w:val="TableParagraph"/>
              <w:tabs>
                <w:tab w:val="left" w:pos="467"/>
                <w:tab w:val="left" w:pos="468"/>
              </w:tabs>
              <w:ind w:right="496"/>
            </w:pPr>
            <w:r w:rsidRPr="006E4532">
              <w:t xml:space="preserve">An individual who contracts with the University or </w:t>
            </w:r>
            <w:r>
              <w:t>non-corporate business</w:t>
            </w:r>
            <w:r w:rsidRPr="006E4532">
              <w:t xml:space="preserve"> to provide a service or material for a specified time and cost/pay and would not be paid via payroll. </w:t>
            </w:r>
          </w:p>
        </w:tc>
      </w:tr>
      <w:tr w:rsidR="00FD0D21" w:rsidRPr="006E4532" w14:paraId="69A93596" w14:textId="77777777" w:rsidTr="00BF5840">
        <w:trPr>
          <w:trHeight w:val="316"/>
        </w:trPr>
        <w:tc>
          <w:tcPr>
            <w:tcW w:w="2280" w:type="dxa"/>
          </w:tcPr>
          <w:p w14:paraId="34BF74BE" w14:textId="77777777" w:rsidR="00FD0D21" w:rsidRPr="006E4532" w:rsidRDefault="00FD0D21" w:rsidP="00BF5840">
            <w:pPr>
              <w:pStyle w:val="TableParagraph"/>
            </w:pPr>
            <w:hyperlink r:id="rId15" w:history="1">
              <w:r w:rsidRPr="0027342F">
                <w:rPr>
                  <w:rStyle w:val="Hyperlink"/>
                </w:rPr>
                <w:t>IDC vs Employee Rules</w:t>
              </w:r>
            </w:hyperlink>
          </w:p>
        </w:tc>
        <w:tc>
          <w:tcPr>
            <w:tcW w:w="7716" w:type="dxa"/>
          </w:tcPr>
          <w:p w14:paraId="2FEE7271" w14:textId="77777777" w:rsidR="00FD0D21" w:rsidRPr="006E4532" w:rsidRDefault="00FD0D21" w:rsidP="00BF5840">
            <w:pPr>
              <w:pStyle w:val="TableParagraph"/>
              <w:tabs>
                <w:tab w:val="left" w:pos="467"/>
                <w:tab w:val="left" w:pos="468"/>
              </w:tabs>
              <w:ind w:right="496"/>
            </w:pPr>
            <w:r>
              <w:t xml:space="preserve">Are rules based on the guidance provided by the Department of Labor (DOL) and our state pension plans to assist departments in identifying accurate classification based on facts and circumstances. No exceptions will be granted. </w:t>
            </w:r>
          </w:p>
        </w:tc>
      </w:tr>
    </w:tbl>
    <w:p w14:paraId="7107238E" w14:textId="77777777" w:rsidR="00A16501" w:rsidRDefault="00A16501" w:rsidP="00FD0D21">
      <w:pPr>
        <w:pStyle w:val="NoSpacing"/>
      </w:pPr>
    </w:p>
    <w:tbl>
      <w:tblPr>
        <w:tblpPr w:leftFromText="180" w:rightFromText="180" w:vertAnchor="text" w:horzAnchor="margin" w:tblpY="20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80"/>
        <w:gridCol w:w="7716"/>
      </w:tblGrid>
      <w:tr w:rsidR="00ED0132" w14:paraId="2B77BCEF" w14:textId="77777777" w:rsidTr="007E206E">
        <w:trPr>
          <w:trHeight w:val="316"/>
        </w:trPr>
        <w:tc>
          <w:tcPr>
            <w:tcW w:w="2280" w:type="dxa"/>
          </w:tcPr>
          <w:p w14:paraId="38672C2F" w14:textId="1E7C19A0" w:rsidR="00ED0132" w:rsidRDefault="0029367D" w:rsidP="007E206E">
            <w:pPr>
              <w:pStyle w:val="TableParagraph"/>
            </w:pPr>
            <w:r>
              <w:lastRenderedPageBreak/>
              <w:t>Sterling Talent Solutions</w:t>
            </w:r>
          </w:p>
        </w:tc>
        <w:tc>
          <w:tcPr>
            <w:tcW w:w="7716" w:type="dxa"/>
          </w:tcPr>
          <w:p w14:paraId="6916D1B3" w14:textId="70CDC7C4" w:rsidR="00ED0132" w:rsidRDefault="00680791" w:rsidP="007E206E">
            <w:pPr>
              <w:pStyle w:val="TableParagraph"/>
              <w:tabs>
                <w:tab w:val="left" w:pos="467"/>
                <w:tab w:val="left" w:pos="468"/>
              </w:tabs>
              <w:ind w:right="496"/>
            </w:pPr>
            <w:proofErr w:type="gramStart"/>
            <w:r>
              <w:t xml:space="preserve">The </w:t>
            </w:r>
            <w:r w:rsidRPr="00680791">
              <w:t>Ohio</w:t>
            </w:r>
            <w:proofErr w:type="gramEnd"/>
            <w:r w:rsidRPr="00680791">
              <w:t xml:space="preserve"> State University utilizes a third-party background check vendor to conduct pre-</w:t>
            </w:r>
            <w:r w:rsidR="0039003C">
              <w:t xml:space="preserve">contractual </w:t>
            </w:r>
            <w:r w:rsidRPr="00680791">
              <w:t>screenings.</w:t>
            </w:r>
          </w:p>
        </w:tc>
      </w:tr>
      <w:tr w:rsidR="00AD38A2" w14:paraId="141DF547" w14:textId="77777777" w:rsidTr="007E206E">
        <w:trPr>
          <w:trHeight w:val="316"/>
        </w:trPr>
        <w:tc>
          <w:tcPr>
            <w:tcW w:w="2280" w:type="dxa"/>
          </w:tcPr>
          <w:p w14:paraId="144C1BC8" w14:textId="44D2A14D" w:rsidR="00AD38A2" w:rsidRDefault="00900AA0" w:rsidP="007E206E">
            <w:pPr>
              <w:pStyle w:val="TableParagraph"/>
            </w:pPr>
            <w:hyperlink r:id="rId16" w:anchor="page=1" w:history="1">
              <w:r w:rsidRPr="0089673A">
                <w:rPr>
                  <w:rStyle w:val="Hyperlink"/>
                </w:rPr>
                <w:t>Non-Employee work Arrangement Checklist</w:t>
              </w:r>
            </w:hyperlink>
          </w:p>
        </w:tc>
        <w:tc>
          <w:tcPr>
            <w:tcW w:w="7716" w:type="dxa"/>
          </w:tcPr>
          <w:p w14:paraId="0B7BC338" w14:textId="77777777" w:rsidR="00AD38A2" w:rsidRDefault="006B114C" w:rsidP="007E206E">
            <w:pPr>
              <w:pStyle w:val="TableParagraph"/>
              <w:tabs>
                <w:tab w:val="left" w:pos="467"/>
                <w:tab w:val="left" w:pos="468"/>
              </w:tabs>
              <w:ind w:right="496"/>
            </w:pPr>
            <w:r>
              <w:t xml:space="preserve">This form is a decision-making and documentation tool which is to be used by </w:t>
            </w:r>
            <w:r w:rsidR="00190CBD">
              <w:t>Managers</w:t>
            </w:r>
            <w:r>
              <w:t xml:space="preserve"> when purchasing services from individuals.</w:t>
            </w:r>
          </w:p>
          <w:p w14:paraId="46D27D4E" w14:textId="100F79E8" w:rsidR="00F479D8" w:rsidRDefault="00F479D8" w:rsidP="007E206E">
            <w:pPr>
              <w:pStyle w:val="TableParagraph"/>
              <w:tabs>
                <w:tab w:val="left" w:pos="467"/>
                <w:tab w:val="left" w:pos="468"/>
              </w:tabs>
              <w:ind w:right="496"/>
            </w:pPr>
          </w:p>
        </w:tc>
      </w:tr>
      <w:tr w:rsidR="00D96A40" w14:paraId="191A9461" w14:textId="77777777" w:rsidTr="007E206E">
        <w:trPr>
          <w:trHeight w:val="316"/>
        </w:trPr>
        <w:tc>
          <w:tcPr>
            <w:tcW w:w="2280" w:type="dxa"/>
          </w:tcPr>
          <w:p w14:paraId="12E6B251" w14:textId="3BEC5652" w:rsidR="00D96A40" w:rsidRDefault="00D96A40" w:rsidP="007E206E">
            <w:pPr>
              <w:pStyle w:val="TableParagraph"/>
            </w:pPr>
            <w:hyperlink r:id="rId17" w:history="1">
              <w:r w:rsidRPr="00880067">
                <w:rPr>
                  <w:rStyle w:val="Hyperlink"/>
                </w:rPr>
                <w:t>Independent Contractor Classification Tool</w:t>
              </w:r>
            </w:hyperlink>
            <w:r>
              <w:t xml:space="preserve"> </w:t>
            </w:r>
          </w:p>
        </w:tc>
        <w:tc>
          <w:tcPr>
            <w:tcW w:w="7716" w:type="dxa"/>
          </w:tcPr>
          <w:p w14:paraId="37537E21" w14:textId="1F1694C4" w:rsidR="00D96A40" w:rsidRDefault="00385828" w:rsidP="007E206E">
            <w:pPr>
              <w:pStyle w:val="TableParagraph"/>
              <w:tabs>
                <w:tab w:val="left" w:pos="467"/>
                <w:tab w:val="left" w:pos="468"/>
              </w:tabs>
              <w:ind w:right="496"/>
            </w:pPr>
            <w:r w:rsidRPr="00385828">
              <w:t>This form serves as a decision-making and documentation tool for EHE HR Business Partners (HRBPs) to determine whether an individual should be hired as an employee or classified as an Independent Contractor (IDC). It was developed based on guidance from the Department of Labor (DOL) and state pension plans to ensure proper classification and compliance.</w:t>
            </w:r>
          </w:p>
        </w:tc>
      </w:tr>
      <w:tr w:rsidR="00456A3A" w14:paraId="6B02356C" w14:textId="77777777" w:rsidTr="007E206E">
        <w:trPr>
          <w:trHeight w:val="316"/>
        </w:trPr>
        <w:tc>
          <w:tcPr>
            <w:tcW w:w="2280" w:type="dxa"/>
          </w:tcPr>
          <w:p w14:paraId="608F5AEB" w14:textId="44305DCB" w:rsidR="00456A3A" w:rsidRDefault="00456A3A" w:rsidP="007E206E">
            <w:pPr>
              <w:pStyle w:val="TableParagraph"/>
            </w:pPr>
            <w:hyperlink r:id="rId18" w:history="1">
              <w:r w:rsidRPr="00AC60A7">
                <w:rPr>
                  <w:rStyle w:val="Hyperlink"/>
                </w:rPr>
                <w:t>PEDACKN Form</w:t>
              </w:r>
            </w:hyperlink>
          </w:p>
        </w:tc>
        <w:tc>
          <w:tcPr>
            <w:tcW w:w="7716" w:type="dxa"/>
          </w:tcPr>
          <w:p w14:paraId="769FC980" w14:textId="308524BE" w:rsidR="00456A3A" w:rsidRPr="008E20E7" w:rsidRDefault="008E20E7" w:rsidP="007E206E">
            <w:r w:rsidRPr="008E20E7">
              <w:rPr>
                <w:color w:val="212325"/>
                <w:shd w:val="clear" w:color="auto" w:fill="FFFFFF"/>
              </w:rPr>
              <w:t>An Ohio Public Employees Retirement System (OPERS) Independent Contractor/Worker Acknowledgement Form (PEDACKN) is required for</w:t>
            </w:r>
            <w:r w:rsidR="004B283F">
              <w:rPr>
                <w:color w:val="212325"/>
                <w:shd w:val="clear" w:color="auto" w:fill="FFFFFF"/>
              </w:rPr>
              <w:t xml:space="preserve"> a</w:t>
            </w:r>
            <w:r w:rsidR="00580CDD" w:rsidRPr="00580CDD">
              <w:t xml:space="preserve">ny </w:t>
            </w:r>
            <w:r w:rsidR="00A563CB">
              <w:t xml:space="preserve">individual who begins providing personal services to </w:t>
            </w:r>
            <w:r w:rsidR="002354B6">
              <w:t>EHE</w:t>
            </w:r>
            <w:r w:rsidR="00144C64">
              <w:t xml:space="preserve">. </w:t>
            </w:r>
            <w:r w:rsidR="00144C64" w:rsidRPr="00144C64">
              <w:t xml:space="preserve">Any OPERS-related </w:t>
            </w:r>
            <w:r w:rsidR="002354B6">
              <w:t>cost</w:t>
            </w:r>
            <w:r w:rsidR="00144C64" w:rsidRPr="00144C64">
              <w:t xml:space="preserve"> received by Ohio State due to this working relationship will be the responsibility of the contracting unit</w:t>
            </w:r>
            <w:r w:rsidR="00A563CB">
              <w:t xml:space="preserve"> </w:t>
            </w:r>
            <w:r w:rsidR="002354B6">
              <w:t xml:space="preserve">for </w:t>
            </w:r>
            <w:r w:rsidR="00580CDD" w:rsidRPr="00580CDD">
              <w:t xml:space="preserve">cases where OPERS classifies the worker as an employee or if the worker is an OPERS benefit recipient with prior contributions made through Ohio State employment. </w:t>
            </w:r>
          </w:p>
        </w:tc>
      </w:tr>
    </w:tbl>
    <w:p w14:paraId="580D491F" w14:textId="77777777" w:rsidR="00053906" w:rsidRDefault="00053906">
      <w:pPr>
        <w:pStyle w:val="BodyText"/>
        <w:ind w:left="140" w:right="162"/>
      </w:pPr>
    </w:p>
    <w:p w14:paraId="2A026464" w14:textId="77777777" w:rsidR="00B775F2" w:rsidRDefault="00B775F2">
      <w:pPr>
        <w:pStyle w:val="BodyText"/>
        <w:ind w:left="140" w:right="162"/>
      </w:pPr>
    </w:p>
    <w:p w14:paraId="6BAFFA57" w14:textId="77777777" w:rsidR="00B775F2" w:rsidRDefault="00B775F2" w:rsidP="00B775F2">
      <w:pPr>
        <w:pStyle w:val="Heading1"/>
        <w:spacing w:before="1"/>
      </w:pPr>
      <w:r>
        <w:rPr>
          <w:noProof/>
        </w:rPr>
        <mc:AlternateContent>
          <mc:Choice Requires="wps">
            <w:drawing>
              <wp:anchor distT="0" distB="0" distL="0" distR="0" simplePos="0" relativeHeight="251661824" behindDoc="1" locked="0" layoutInCell="1" allowOverlap="1" wp14:anchorId="33FF57B2" wp14:editId="65D419DC">
                <wp:simplePos x="0" y="0"/>
                <wp:positionH relativeFrom="page">
                  <wp:posOffset>666750</wp:posOffset>
                </wp:positionH>
                <wp:positionV relativeFrom="paragraph">
                  <wp:posOffset>188595</wp:posOffset>
                </wp:positionV>
                <wp:extent cx="6438900" cy="6350"/>
                <wp:effectExtent l="0" t="0" r="0" b="0"/>
                <wp:wrapTopAndBottom/>
                <wp:docPr id="9" name="docshape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890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A0C044" id="docshape5" o:spid="_x0000_s1026" style="position:absolute;margin-left:52.5pt;margin-top:14.85pt;width:507pt;height:.5pt;z-index:-2516546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" fillcolor="black" stroked="f">
                <w10:wrap type="topAndBottom" anchorx="page"/>
              </v:rect>
            </w:pict>
          </mc:Fallback>
        </mc:AlternateContent>
      </w:r>
      <w:r>
        <w:rPr>
          <w:noProof/>
        </w:rPr>
        <w:t>BACKGROUND CHECK PROVIDER</w:t>
      </w:r>
    </w:p>
    <w:p w14:paraId="5923BEBC" w14:textId="77777777" w:rsidR="00B775F2" w:rsidRPr="00D64AB5" w:rsidRDefault="00B775F2" w:rsidP="00B775F2">
      <w:pPr>
        <w:pStyle w:val="BodyText"/>
        <w:ind w:left="140" w:right="162"/>
      </w:pPr>
      <w:r w:rsidRPr="00D64AB5">
        <w:t xml:space="preserve">The university uses Sterling Talent Solutions for all Independent Contractor/Consultant and Volunteer (IDC/V) background checks. You can access the portal here: </w:t>
      </w:r>
      <w:hyperlink r:id="rId19" w:tgtFrame="_new" w:history="1">
        <w:r w:rsidRPr="00D64AB5">
          <w:rPr>
            <w:rStyle w:val="Hyperlink"/>
          </w:rPr>
          <w:t>https://www.sterlingtalentsolutions.com/landing-pages/o/osu/</w:t>
        </w:r>
      </w:hyperlink>
      <w:r w:rsidRPr="00D64AB5">
        <w:t>.</w:t>
      </w:r>
      <w:r>
        <w:t xml:space="preserve"> </w:t>
      </w:r>
      <w:r w:rsidRPr="00D64AB5">
        <w:t>The base cost for a background check through this portal is $22.50. During the process, individuals will be asked to disclose any prior criminal convictions, which may result in additional fees depending on the nature of the check.</w:t>
      </w:r>
    </w:p>
    <w:p w14:paraId="4B591820" w14:textId="77777777" w:rsidR="00B775F2" w:rsidRPr="00D64AB5" w:rsidRDefault="00B775F2" w:rsidP="00B775F2">
      <w:pPr>
        <w:pStyle w:val="BodyText"/>
        <w:ind w:left="140" w:right="162"/>
      </w:pPr>
      <w:r w:rsidRPr="00D64AB5">
        <w:t>Please note that a criminal conviction does not automatically disqualify someone from working</w:t>
      </w:r>
      <w:r w:rsidRPr="00D64AB5">
        <w:rPr>
          <w:b/>
          <w:bCs/>
        </w:rPr>
        <w:t xml:space="preserve"> </w:t>
      </w:r>
      <w:r w:rsidRPr="00D64AB5">
        <w:t>with the university. However, background checks for IDC/V roles must be paid for by the individual.</w:t>
      </w:r>
    </w:p>
    <w:p w14:paraId="6DAEF312" w14:textId="77777777" w:rsidR="00B775F2" w:rsidRDefault="00B775F2">
      <w:pPr>
        <w:pStyle w:val="BodyText"/>
        <w:ind w:left="140" w:right="162"/>
      </w:pPr>
    </w:p>
    <w:p w14:paraId="710723A5" w14:textId="77777777" w:rsidR="00A16501" w:rsidRDefault="00A16501">
      <w:pPr>
        <w:pStyle w:val="BodyText"/>
        <w:spacing w:before="8"/>
        <w:rPr>
          <w:sz w:val="18"/>
        </w:rPr>
      </w:pPr>
    </w:p>
    <w:p w14:paraId="710723A6" w14:textId="2A748774" w:rsidR="00A16501" w:rsidRDefault="00931DC7">
      <w:pPr>
        <w:pStyle w:val="Heading1"/>
        <w:spacing w:before="93"/>
      </w:pPr>
      <w:r>
        <w:rPr>
          <w:noProof/>
        </w:rPr>
        <mc:AlternateContent>
          <mc:Choice Requires="wps">
            <w:drawing>
              <wp:anchor distT="0" distB="0" distL="0" distR="0" simplePos="0" relativeHeight="251659776" behindDoc="1" locked="0" layoutInCell="1" allowOverlap="1" wp14:anchorId="710723DE" wp14:editId="7CBAEF20">
                <wp:simplePos x="0" y="0"/>
                <wp:positionH relativeFrom="page">
                  <wp:posOffset>666750</wp:posOffset>
                </wp:positionH>
                <wp:positionV relativeFrom="paragraph">
                  <wp:posOffset>247015</wp:posOffset>
                </wp:positionV>
                <wp:extent cx="6438900" cy="3175"/>
                <wp:effectExtent l="0" t="0" r="0" b="0"/>
                <wp:wrapTopAndBottom/>
                <wp:docPr id="4" name="docshape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8900" cy="317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6C278C" id="docshape7" o:spid="_x0000_s1026" style="position:absolute;margin-left:52.5pt;margin-top:19.45pt;width:507pt;height:.25pt;z-index:-2516567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" fillcolor="black" stroked="f">
                <w10:wrap type="topAndBottom" anchorx="page"/>
              </v:rect>
            </w:pict>
          </mc:Fallback>
        </mc:AlternateContent>
      </w:r>
      <w:r w:rsidR="00371DB0">
        <w:t>ROLES</w:t>
      </w:r>
      <w:r w:rsidR="00371DB0">
        <w:rPr>
          <w:spacing w:val="-5"/>
        </w:rPr>
        <w:t xml:space="preserve"> </w:t>
      </w:r>
      <w:r w:rsidR="00371DB0">
        <w:t>AND</w:t>
      </w:r>
      <w:r w:rsidR="00371DB0">
        <w:rPr>
          <w:spacing w:val="-5"/>
        </w:rPr>
        <w:t xml:space="preserve"> </w:t>
      </w:r>
      <w:r w:rsidR="00371DB0">
        <w:rPr>
          <w:spacing w:val="-2"/>
        </w:rPr>
        <w:t>RESPONSIBILITIES</w:t>
      </w:r>
    </w:p>
    <w:p w14:paraId="710723A7" w14:textId="77777777" w:rsidR="00A16501" w:rsidRDefault="00A16501">
      <w:pPr>
        <w:pStyle w:val="BodyText"/>
        <w:spacing w:before="9"/>
        <w:rPr>
          <w:b/>
          <w:sz w:val="13"/>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45"/>
        <w:gridCol w:w="7825"/>
      </w:tblGrid>
      <w:tr w:rsidR="00A16501" w:rsidRPr="00051330" w14:paraId="710723AC" w14:textId="77777777" w:rsidTr="007E7DA3">
        <w:trPr>
          <w:trHeight w:val="287"/>
        </w:trPr>
        <w:tc>
          <w:tcPr>
            <w:tcW w:w="2245" w:type="dxa"/>
            <w:shd w:val="clear" w:color="auto" w:fill="BB0000"/>
          </w:tcPr>
          <w:p w14:paraId="710723AA" w14:textId="77777777" w:rsidR="00A16501" w:rsidRPr="00051330" w:rsidRDefault="00371DB0" w:rsidP="00363ADD">
            <w:pPr>
              <w:pStyle w:val="TableParagraph"/>
              <w:spacing w:before="16" w:line="251" w:lineRule="exact"/>
              <w:ind w:left="107"/>
              <w:jc w:val="center"/>
            </w:pPr>
            <w:r w:rsidRPr="00051330">
              <w:rPr>
                <w:color w:val="FFFFFF"/>
                <w:spacing w:val="-4"/>
              </w:rPr>
              <w:t>Role</w:t>
            </w:r>
          </w:p>
        </w:tc>
        <w:tc>
          <w:tcPr>
            <w:tcW w:w="7825" w:type="dxa"/>
            <w:shd w:val="clear" w:color="auto" w:fill="BB0000"/>
          </w:tcPr>
          <w:p w14:paraId="710723AB" w14:textId="77777777" w:rsidR="00A16501" w:rsidRPr="00051330" w:rsidRDefault="00371DB0" w:rsidP="00363ADD">
            <w:pPr>
              <w:pStyle w:val="TableParagraph"/>
              <w:spacing w:before="16" w:line="251" w:lineRule="exact"/>
              <w:ind w:left="108"/>
              <w:jc w:val="center"/>
            </w:pPr>
            <w:r w:rsidRPr="00051330">
              <w:rPr>
                <w:color w:val="FFFFFF"/>
                <w:spacing w:val="-2"/>
              </w:rPr>
              <w:t>Responsibilities</w:t>
            </w:r>
          </w:p>
        </w:tc>
      </w:tr>
      <w:tr w:rsidR="00A16501" w14:paraId="710723B3" w14:textId="77777777" w:rsidTr="007E7DA3">
        <w:trPr>
          <w:trHeight w:val="2016"/>
        </w:trPr>
        <w:tc>
          <w:tcPr>
            <w:tcW w:w="2245" w:type="dxa"/>
          </w:tcPr>
          <w:p w14:paraId="710723AD" w14:textId="77777777" w:rsidR="00A16501" w:rsidRDefault="00A16501">
            <w:pPr>
              <w:pStyle w:val="TableParagraph"/>
              <w:rPr>
                <w:sz w:val="24"/>
              </w:rPr>
            </w:pPr>
          </w:p>
          <w:p w14:paraId="710723AE" w14:textId="77777777" w:rsidR="00A16501" w:rsidRDefault="00A16501">
            <w:pPr>
              <w:pStyle w:val="TableParagraph"/>
              <w:rPr>
                <w:sz w:val="24"/>
              </w:rPr>
            </w:pPr>
          </w:p>
          <w:p w14:paraId="710723AF" w14:textId="74C671D3" w:rsidR="00190410" w:rsidRPr="00190410" w:rsidRDefault="00190410" w:rsidP="00055538">
            <w:pPr>
              <w:pStyle w:val="TableParagraph"/>
              <w:spacing w:before="202"/>
              <w:ind w:left="107" w:right="350"/>
              <w:jc w:val="center"/>
              <w:rPr>
                <w:spacing w:val="-16"/>
              </w:rPr>
            </w:pPr>
            <w:r>
              <w:t>Manager</w:t>
            </w:r>
          </w:p>
        </w:tc>
        <w:tc>
          <w:tcPr>
            <w:tcW w:w="7825" w:type="dxa"/>
          </w:tcPr>
          <w:p w14:paraId="7494067E" w14:textId="3912BE84" w:rsidR="00C73E03" w:rsidRPr="00C73E03" w:rsidRDefault="00C73E03" w:rsidP="0043278B">
            <w:pPr>
              <w:pStyle w:val="NoSpacing"/>
              <w:numPr>
                <w:ilvl w:val="0"/>
                <w:numId w:val="17"/>
              </w:numPr>
            </w:pPr>
            <w:r w:rsidRPr="00C73E03">
              <w:t xml:space="preserve">Initiates </w:t>
            </w:r>
            <w:proofErr w:type="gramStart"/>
            <w:r w:rsidRPr="00C73E03">
              <w:t>a requisition</w:t>
            </w:r>
            <w:proofErr w:type="gramEnd"/>
            <w:r w:rsidRPr="00C73E03">
              <w:t xml:space="preserve"> request for an Independent Contractor or Volunteer (IDC/V) if the individual falls under any university or EHE criteria requiring a background check (e.g., access to restricted institutional data, care, custody, or control of a minor, access to university computer systems—whether on-site or remote, etc.).</w:t>
            </w:r>
          </w:p>
          <w:p w14:paraId="6DC9F406" w14:textId="1F239E21" w:rsidR="00C73E03" w:rsidRPr="00C73E03" w:rsidRDefault="00C73E03" w:rsidP="0043278B">
            <w:pPr>
              <w:pStyle w:val="NoSpacing"/>
              <w:numPr>
                <w:ilvl w:val="0"/>
                <w:numId w:val="17"/>
              </w:numPr>
            </w:pPr>
            <w:r w:rsidRPr="00C73E03">
              <w:t xml:space="preserve">Completes the </w:t>
            </w:r>
            <w:hyperlink r:id="rId20" w:history="1">
              <w:r w:rsidRPr="00CA630D">
                <w:rPr>
                  <w:rStyle w:val="Hyperlink"/>
                </w:rPr>
                <w:t>Non-Employee Work Arrangement Form</w:t>
              </w:r>
            </w:hyperlink>
            <w:r w:rsidRPr="00C73E03">
              <w:t>, providing a clear business purpose and responding to all required supporting questions.</w:t>
            </w:r>
          </w:p>
          <w:p w14:paraId="77A38BE1" w14:textId="3476191A" w:rsidR="00C73E03" w:rsidRPr="00C73E03" w:rsidRDefault="00C73E03" w:rsidP="0043278B">
            <w:pPr>
              <w:pStyle w:val="NoSpacing"/>
              <w:numPr>
                <w:ilvl w:val="0"/>
                <w:numId w:val="17"/>
              </w:numPr>
            </w:pPr>
            <w:r w:rsidRPr="00C73E03">
              <w:t xml:space="preserve">Ensures the selected individual does </w:t>
            </w:r>
            <w:r w:rsidRPr="00C73E03">
              <w:rPr>
                <w:b/>
                <w:bCs/>
              </w:rPr>
              <w:t>not begin work</w:t>
            </w:r>
            <w:r w:rsidRPr="00C73E03">
              <w:t xml:space="preserve"> until the background check is completed and clearance is confirmed by the EHE HR Background Check Coordinator (EHE HR BGC).</w:t>
            </w:r>
          </w:p>
          <w:p w14:paraId="710723B2" w14:textId="54524E55" w:rsidR="00A16501" w:rsidRDefault="00A16501" w:rsidP="00C73E03">
            <w:pPr>
              <w:pStyle w:val="NoSpacing"/>
            </w:pPr>
          </w:p>
        </w:tc>
      </w:tr>
      <w:tr w:rsidR="00A16501" w14:paraId="710723B8" w14:textId="77777777" w:rsidTr="007E7DA3">
        <w:trPr>
          <w:trHeight w:val="1007"/>
        </w:trPr>
        <w:tc>
          <w:tcPr>
            <w:tcW w:w="2245" w:type="dxa"/>
          </w:tcPr>
          <w:p w14:paraId="710723B4" w14:textId="77777777" w:rsidR="00A16501" w:rsidRDefault="00A16501" w:rsidP="006F31C3">
            <w:pPr>
              <w:pStyle w:val="NoSpacing"/>
            </w:pPr>
          </w:p>
          <w:p w14:paraId="710723B5" w14:textId="77777777" w:rsidR="00A16501" w:rsidRDefault="00371DB0" w:rsidP="00055538">
            <w:pPr>
              <w:pStyle w:val="NoSpacing"/>
              <w:jc w:val="center"/>
            </w:pPr>
            <w:r>
              <w:t>Fiscal</w:t>
            </w:r>
            <w:r>
              <w:rPr>
                <w:spacing w:val="-6"/>
              </w:rPr>
              <w:t xml:space="preserve"> </w:t>
            </w:r>
            <w:r>
              <w:rPr>
                <w:spacing w:val="-2"/>
              </w:rPr>
              <w:t>Officer</w:t>
            </w:r>
          </w:p>
        </w:tc>
        <w:tc>
          <w:tcPr>
            <w:tcW w:w="7825" w:type="dxa"/>
          </w:tcPr>
          <w:p w14:paraId="02D8754C" w14:textId="77777777" w:rsidR="00562637" w:rsidRPr="0032753D" w:rsidRDefault="00562637" w:rsidP="006D02B7">
            <w:pPr>
              <w:pStyle w:val="NoSpacing"/>
              <w:numPr>
                <w:ilvl w:val="0"/>
                <w:numId w:val="16"/>
              </w:numPr>
              <w:rPr>
                <w:u w:val="single"/>
              </w:rPr>
            </w:pPr>
            <w:r w:rsidRPr="00562637">
              <w:t xml:space="preserve">Reviews the Non-Employee Work Arrangement Form submitted by the manager to ensure it is </w:t>
            </w:r>
            <w:r w:rsidRPr="0032753D">
              <w:rPr>
                <w:u w:val="single"/>
              </w:rPr>
              <w:t>fully completed and includes a clear and valid scope of work.</w:t>
            </w:r>
          </w:p>
          <w:p w14:paraId="710723B7" w14:textId="24E16E85" w:rsidR="00A16501" w:rsidRPr="00562637" w:rsidRDefault="00562637" w:rsidP="006D02B7">
            <w:pPr>
              <w:pStyle w:val="NoSpacing"/>
              <w:numPr>
                <w:ilvl w:val="0"/>
                <w:numId w:val="16"/>
              </w:numPr>
            </w:pPr>
            <w:r w:rsidRPr="00562637">
              <w:t xml:space="preserve">Enters the requested IDC information into the BGC Tracking Spreadsheet located within the </w:t>
            </w:r>
            <w:hyperlink r:id="rId21" w:history="1">
              <w:r w:rsidRPr="00D75390">
                <w:rPr>
                  <w:rStyle w:val="Hyperlink"/>
                </w:rPr>
                <w:t>EHE Independent Contractor Process Teams folder.</w:t>
              </w:r>
            </w:hyperlink>
          </w:p>
        </w:tc>
      </w:tr>
      <w:tr w:rsidR="002460BD" w14:paraId="391F42A1" w14:textId="77777777" w:rsidTr="00CA2617">
        <w:trPr>
          <w:trHeight w:val="532"/>
        </w:trPr>
        <w:tc>
          <w:tcPr>
            <w:tcW w:w="2245" w:type="dxa"/>
          </w:tcPr>
          <w:p w14:paraId="3233045C" w14:textId="77777777" w:rsidR="002460BD" w:rsidRPr="00611B32" w:rsidRDefault="002460BD" w:rsidP="00055538">
            <w:pPr>
              <w:pStyle w:val="TableParagraph"/>
              <w:spacing w:line="232" w:lineRule="exact"/>
              <w:ind w:left="148"/>
              <w:jc w:val="center"/>
            </w:pPr>
            <w:r>
              <w:lastRenderedPageBreak/>
              <w:t>HR</w:t>
            </w:r>
            <w:r>
              <w:rPr>
                <w:spacing w:val="-6"/>
              </w:rPr>
              <w:t xml:space="preserve"> </w:t>
            </w:r>
            <w:r w:rsidRPr="00611B32">
              <w:rPr>
                <w:spacing w:val="-2"/>
              </w:rPr>
              <w:t>Business</w:t>
            </w:r>
          </w:p>
          <w:p w14:paraId="321446C3" w14:textId="3B245ABF" w:rsidR="002460BD" w:rsidRDefault="002460BD" w:rsidP="00055538">
            <w:pPr>
              <w:pStyle w:val="TableParagraph"/>
              <w:jc w:val="center"/>
              <w:rPr>
                <w:sz w:val="24"/>
              </w:rPr>
            </w:pPr>
            <w:r w:rsidRPr="00611B32">
              <w:t>Partner</w:t>
            </w:r>
            <w:r w:rsidRPr="00611B32">
              <w:rPr>
                <w:spacing w:val="-16"/>
              </w:rPr>
              <w:t xml:space="preserve"> </w:t>
            </w:r>
          </w:p>
        </w:tc>
        <w:tc>
          <w:tcPr>
            <w:tcW w:w="7825" w:type="dxa"/>
          </w:tcPr>
          <w:p w14:paraId="00274685" w14:textId="75FAAC53" w:rsidR="000274CA" w:rsidRPr="000274CA" w:rsidRDefault="000274CA" w:rsidP="000274CA">
            <w:pPr>
              <w:pStyle w:val="NoSpacing"/>
              <w:numPr>
                <w:ilvl w:val="0"/>
                <w:numId w:val="19"/>
              </w:numPr>
            </w:pPr>
            <w:r w:rsidRPr="000274CA">
              <w:t>Review the Non-Employee Work Arrangement form and complete the Independent Contractor Classification Tool to support the approval or denial of the IDC.</w:t>
            </w:r>
          </w:p>
          <w:p w14:paraId="43CE1E2D" w14:textId="4983876B" w:rsidR="002460BD" w:rsidRDefault="004825AE" w:rsidP="000274CA">
            <w:pPr>
              <w:pStyle w:val="NoSpacing"/>
              <w:numPr>
                <w:ilvl w:val="0"/>
                <w:numId w:val="18"/>
              </w:numPr>
            </w:pPr>
            <w:r>
              <w:t xml:space="preserve">If BGC is required, </w:t>
            </w:r>
            <w:proofErr w:type="gramStart"/>
            <w:r>
              <w:t>will</w:t>
            </w:r>
            <w:proofErr w:type="gramEnd"/>
            <w:r>
              <w:t xml:space="preserve"> e</w:t>
            </w:r>
            <w:r w:rsidR="000274CA" w:rsidRPr="000274CA">
              <w:t xml:space="preserve">valuate background check results that include criminal convictions to determine whether they </w:t>
            </w:r>
            <w:r w:rsidR="00F61E19" w:rsidRPr="000274CA">
              <w:t>impact on</w:t>
            </w:r>
            <w:r w:rsidR="000274CA" w:rsidRPr="000274CA">
              <w:t xml:space="preserve"> the individual's working relationship with EHE and the University.</w:t>
            </w:r>
          </w:p>
          <w:p w14:paraId="4EEB6F72" w14:textId="6328662C" w:rsidR="00586672" w:rsidRDefault="00417E8B" w:rsidP="000274CA">
            <w:pPr>
              <w:pStyle w:val="NoSpacing"/>
              <w:numPr>
                <w:ilvl w:val="0"/>
                <w:numId w:val="18"/>
              </w:numPr>
            </w:pPr>
            <w:r>
              <w:t>E</w:t>
            </w:r>
            <w:r w:rsidR="00586672">
              <w:t>scalate</w:t>
            </w:r>
            <w:r>
              <w:t xml:space="preserve"> issues </w:t>
            </w:r>
            <w:r w:rsidR="00586672">
              <w:t>to the Dean as ne</w:t>
            </w:r>
            <w:r>
              <w:t>cessary</w:t>
            </w:r>
            <w:r w:rsidR="009C0F94">
              <w:t>.</w:t>
            </w:r>
          </w:p>
        </w:tc>
      </w:tr>
      <w:tr w:rsidR="00A16501" w14:paraId="710723C1" w14:textId="77777777" w:rsidTr="007E7DA3">
        <w:trPr>
          <w:trHeight w:val="2336"/>
        </w:trPr>
        <w:tc>
          <w:tcPr>
            <w:tcW w:w="2245" w:type="dxa"/>
          </w:tcPr>
          <w:p w14:paraId="710723B9" w14:textId="77777777" w:rsidR="00A16501" w:rsidRDefault="00A16501" w:rsidP="008C065D">
            <w:pPr>
              <w:pStyle w:val="TableParagraph"/>
              <w:rPr>
                <w:sz w:val="24"/>
              </w:rPr>
            </w:pPr>
          </w:p>
          <w:p w14:paraId="710723BA" w14:textId="77777777" w:rsidR="00A16501" w:rsidRDefault="00A16501" w:rsidP="008C065D">
            <w:pPr>
              <w:pStyle w:val="TableParagraph"/>
              <w:rPr>
                <w:sz w:val="24"/>
              </w:rPr>
            </w:pPr>
          </w:p>
          <w:p w14:paraId="710723BB" w14:textId="77777777" w:rsidR="00A16501" w:rsidRDefault="00A16501" w:rsidP="008C065D">
            <w:pPr>
              <w:pStyle w:val="TableParagraph"/>
              <w:spacing w:before="5"/>
              <w:rPr>
                <w:sz w:val="31"/>
              </w:rPr>
            </w:pPr>
          </w:p>
          <w:p w14:paraId="6DFDF9E2" w14:textId="362F22B1" w:rsidR="00A16501" w:rsidRDefault="00371DB0" w:rsidP="007E7DA3">
            <w:pPr>
              <w:pStyle w:val="TableParagraph"/>
              <w:spacing w:before="1"/>
              <w:ind w:left="107" w:right="901"/>
              <w:jc w:val="center"/>
              <w:rPr>
                <w:spacing w:val="-2"/>
              </w:rPr>
            </w:pPr>
            <w:r>
              <w:t>EHE</w:t>
            </w:r>
            <w:r>
              <w:rPr>
                <w:spacing w:val="-16"/>
              </w:rPr>
              <w:t xml:space="preserve"> </w:t>
            </w:r>
            <w:r>
              <w:t>H</w:t>
            </w:r>
            <w:r>
              <w:rPr>
                <w:spacing w:val="-2"/>
              </w:rPr>
              <w:t>R</w:t>
            </w:r>
            <w:r w:rsidR="00883923">
              <w:rPr>
                <w:spacing w:val="-2"/>
              </w:rPr>
              <w:t>S</w:t>
            </w:r>
            <w:r w:rsidR="00B03584">
              <w:rPr>
                <w:spacing w:val="-2"/>
              </w:rPr>
              <w:t xml:space="preserve"> B</w:t>
            </w:r>
            <w:r w:rsidR="00883923">
              <w:rPr>
                <w:spacing w:val="-2"/>
              </w:rPr>
              <w:t>G</w:t>
            </w:r>
            <w:r w:rsidR="00B03584">
              <w:rPr>
                <w:spacing w:val="-2"/>
              </w:rPr>
              <w:t>C Coordinator</w:t>
            </w:r>
          </w:p>
          <w:p w14:paraId="710723BC" w14:textId="490F60B6" w:rsidR="006F666E" w:rsidRDefault="006F666E" w:rsidP="008C065D">
            <w:pPr>
              <w:pStyle w:val="TableParagraph"/>
              <w:spacing w:before="1"/>
              <w:ind w:left="107" w:right="901"/>
            </w:pPr>
          </w:p>
        </w:tc>
        <w:tc>
          <w:tcPr>
            <w:tcW w:w="7825" w:type="dxa"/>
          </w:tcPr>
          <w:p w14:paraId="4AA66363" w14:textId="6C5C56A4" w:rsidR="00960FD6" w:rsidRPr="00960FD6" w:rsidRDefault="00960FD6" w:rsidP="00960FD6">
            <w:pPr>
              <w:pStyle w:val="NoSpacing"/>
              <w:numPr>
                <w:ilvl w:val="0"/>
                <w:numId w:val="18"/>
              </w:numPr>
            </w:pPr>
            <w:r w:rsidRPr="00960FD6">
              <w:t xml:space="preserve">Ensures that a valid scope of work has been approved, then sends an  email to the IDC with instructions to complete a background check through the </w:t>
            </w:r>
            <w:r w:rsidR="00186AB2">
              <w:t>Sterling Talen Solutions</w:t>
            </w:r>
            <w:r w:rsidRPr="00960FD6">
              <w:t xml:space="preserve"> third-party </w:t>
            </w:r>
            <w:r w:rsidR="00186AB2">
              <w:t xml:space="preserve">BGC </w:t>
            </w:r>
            <w:r w:rsidRPr="00960FD6">
              <w:t>vendor.</w:t>
            </w:r>
          </w:p>
          <w:p w14:paraId="2AB0516C" w14:textId="77777777" w:rsidR="00186AB2" w:rsidRDefault="00960FD6" w:rsidP="00960FD6">
            <w:pPr>
              <w:pStyle w:val="NoSpacing"/>
              <w:numPr>
                <w:ilvl w:val="0"/>
                <w:numId w:val="18"/>
              </w:numPr>
            </w:pPr>
            <w:r w:rsidRPr="00960FD6">
              <w:t xml:space="preserve">Maintains the Consultant Background Check Tracking spreadsheet and Exception Log within the </w:t>
            </w:r>
            <w:hyperlink r:id="rId22" w:history="1">
              <w:r w:rsidR="00186AB2" w:rsidRPr="00D75390">
                <w:rPr>
                  <w:rStyle w:val="Hyperlink"/>
                </w:rPr>
                <w:t>EHE Independent Contractor Process Teams folder.</w:t>
              </w:r>
            </w:hyperlink>
          </w:p>
          <w:p w14:paraId="710723C0" w14:textId="4ABF5F1A" w:rsidR="00203FBB" w:rsidRDefault="00960FD6" w:rsidP="00960FD6">
            <w:pPr>
              <w:pStyle w:val="NoSpacing"/>
              <w:numPr>
                <w:ilvl w:val="0"/>
                <w:numId w:val="18"/>
              </w:numPr>
            </w:pPr>
            <w:r w:rsidRPr="00960FD6">
              <w:t xml:space="preserve">Once the background check is approved, notifies the manager and IDC via email that the background check is </w:t>
            </w:r>
            <w:proofErr w:type="gramStart"/>
            <w:r w:rsidRPr="00960FD6">
              <w:t>complete</w:t>
            </w:r>
            <w:proofErr w:type="gramEnd"/>
            <w:r w:rsidRPr="00960FD6">
              <w:t xml:space="preserve"> and the IDC is cleared to begin work.</w:t>
            </w:r>
          </w:p>
        </w:tc>
      </w:tr>
      <w:tr w:rsidR="00A16501" w14:paraId="710723CD" w14:textId="77777777" w:rsidTr="007E7DA3">
        <w:trPr>
          <w:trHeight w:val="916"/>
        </w:trPr>
        <w:tc>
          <w:tcPr>
            <w:tcW w:w="2245" w:type="dxa"/>
          </w:tcPr>
          <w:p w14:paraId="710723CA" w14:textId="77777777" w:rsidR="00A16501" w:rsidRDefault="00A16501">
            <w:pPr>
              <w:pStyle w:val="TableParagraph"/>
              <w:spacing w:before="7"/>
              <w:rPr>
                <w:sz w:val="28"/>
              </w:rPr>
            </w:pPr>
          </w:p>
          <w:p w14:paraId="710723CB" w14:textId="77777777" w:rsidR="00A16501" w:rsidRDefault="00371DB0" w:rsidP="007E7DA3">
            <w:pPr>
              <w:pStyle w:val="TableParagraph"/>
              <w:spacing w:before="1"/>
              <w:ind w:left="107"/>
              <w:jc w:val="center"/>
            </w:pPr>
            <w:r>
              <w:rPr>
                <w:spacing w:val="-5"/>
              </w:rPr>
              <w:t>OHR</w:t>
            </w:r>
          </w:p>
        </w:tc>
        <w:tc>
          <w:tcPr>
            <w:tcW w:w="7825" w:type="dxa"/>
          </w:tcPr>
          <w:p w14:paraId="710723CC" w14:textId="75A39CEC" w:rsidR="00A16501" w:rsidRDefault="00CF681E" w:rsidP="00CF681E">
            <w:pPr>
              <w:pStyle w:val="NoSpacing"/>
              <w:numPr>
                <w:ilvl w:val="0"/>
                <w:numId w:val="20"/>
              </w:numPr>
            </w:pPr>
            <w:r w:rsidRPr="00CF681E">
              <w:t>Reviews background check results and reports any criminal convictions to the HRBP, along with a recommendation on whether to proceed with a contractual relationship with the IDC.</w:t>
            </w:r>
          </w:p>
        </w:tc>
      </w:tr>
    </w:tbl>
    <w:p w14:paraId="672A6659" w14:textId="77777777" w:rsidR="00417FCE" w:rsidRDefault="00417FCE"/>
    <w:sectPr w:rsidR="00417FCE">
      <w:headerReference w:type="default" r:id="rId23"/>
      <w:pgSz w:w="12240" w:h="15840"/>
      <w:pgMar w:top="1960" w:right="940" w:bottom="280" w:left="940" w:header="178"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4A59CE" w14:textId="77777777" w:rsidR="00D20BFC" w:rsidRDefault="00D20BFC">
      <w:r>
        <w:separator/>
      </w:r>
    </w:p>
  </w:endnote>
  <w:endnote w:type="continuationSeparator" w:id="0">
    <w:p w14:paraId="7400BEF6" w14:textId="77777777" w:rsidR="00D20BFC" w:rsidRDefault="00D20BFC">
      <w:r>
        <w:continuationSeparator/>
      </w:r>
    </w:p>
  </w:endnote>
  <w:endnote w:type="continuationNotice" w:id="1">
    <w:p w14:paraId="447EFA15" w14:textId="77777777" w:rsidR="00D20BFC" w:rsidRDefault="00D20BF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588929" w14:textId="77777777" w:rsidR="00D20BFC" w:rsidRDefault="00D20BFC">
      <w:r>
        <w:separator/>
      </w:r>
    </w:p>
  </w:footnote>
  <w:footnote w:type="continuationSeparator" w:id="0">
    <w:p w14:paraId="4ED3A25E" w14:textId="77777777" w:rsidR="00D20BFC" w:rsidRDefault="00D20BFC">
      <w:r>
        <w:continuationSeparator/>
      </w:r>
    </w:p>
  </w:footnote>
  <w:footnote w:type="continuationNotice" w:id="1">
    <w:p w14:paraId="771C7F58" w14:textId="77777777" w:rsidR="00D20BFC" w:rsidRDefault="00D20BF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0723DF" w14:textId="78DDB383" w:rsidR="00A16501" w:rsidRDefault="00646CD9">
    <w:pPr>
      <w:pStyle w:val="BodyText"/>
      <w:spacing w:line="14" w:lineRule="auto"/>
      <w:rPr>
        <w:sz w:val="20"/>
      </w:rPr>
    </w:pPr>
    <w:r>
      <w:rPr>
        <w:noProof/>
      </w:rPr>
      <mc:AlternateContent>
        <mc:Choice Requires="wps">
          <w:drawing>
            <wp:anchor distT="0" distB="0" distL="114300" distR="114300" simplePos="0" relativeHeight="251660288" behindDoc="1" locked="0" layoutInCell="1" allowOverlap="1" wp14:anchorId="710723E3" wp14:editId="75FA9B0F">
              <wp:simplePos x="0" y="0"/>
              <wp:positionH relativeFrom="page">
                <wp:posOffset>4107180</wp:posOffset>
              </wp:positionH>
              <wp:positionV relativeFrom="page">
                <wp:posOffset>449580</wp:posOffset>
              </wp:positionV>
              <wp:extent cx="3370580" cy="654685"/>
              <wp:effectExtent l="0" t="0" r="1270" b="12065"/>
              <wp:wrapNone/>
              <wp:docPr id="2"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0580" cy="654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0723E4" w14:textId="1A1001EB" w:rsidR="00A16501" w:rsidRPr="00646CD9" w:rsidRDefault="009905F3">
                          <w:pPr>
                            <w:spacing w:before="8"/>
                            <w:ind w:left="20"/>
                            <w:rPr>
                              <w:sz w:val="36"/>
                              <w:szCs w:val="36"/>
                            </w:rPr>
                          </w:pPr>
                          <w:r w:rsidRPr="00646CD9">
                            <w:rPr>
                              <w:sz w:val="36"/>
                              <w:szCs w:val="36"/>
                            </w:rPr>
                            <w:t xml:space="preserve">EHE </w:t>
                          </w:r>
                          <w:r w:rsidR="00646CD9" w:rsidRPr="00646CD9">
                            <w:rPr>
                              <w:sz w:val="36"/>
                              <w:szCs w:val="36"/>
                            </w:rPr>
                            <w:t xml:space="preserve">Independent </w:t>
                          </w:r>
                          <w:r w:rsidR="00646CD9">
                            <w:rPr>
                              <w:sz w:val="36"/>
                              <w:szCs w:val="36"/>
                            </w:rPr>
                            <w:t xml:space="preserve">Contractor </w:t>
                          </w:r>
                          <w:r w:rsidR="00770B34">
                            <w:rPr>
                              <w:sz w:val="36"/>
                              <w:szCs w:val="36"/>
                            </w:rPr>
                            <w:t xml:space="preserve">Approval </w:t>
                          </w:r>
                          <w:r w:rsidR="00646CD9" w:rsidRPr="00646CD9">
                            <w:rPr>
                              <w:sz w:val="36"/>
                              <w:szCs w:val="36"/>
                            </w:rPr>
                            <w:t>Process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0723E3" id="_x0000_t202" coordsize="21600,21600" o:spt="202" path="m,l,21600r21600,l21600,xe">
              <v:stroke joinstyle="miter"/>
              <v:path gradientshapeok="t" o:connecttype="rect"/>
            </v:shapetype>
            <v:shape id="docshape2" o:spid="_x0000_s1026" type="#_x0000_t202" style="position:absolute;margin-left:323.4pt;margin-top:35.4pt;width:265.4pt;height:51.5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" filled="f" stroked="f">
              <v:textbox inset="0,0,0,0">
                <w:txbxContent>
                  <w:p w14:paraId="710723E4" w14:textId="1A1001EB" w:rsidR="00A16501" w:rsidRPr="00646CD9" w:rsidRDefault="009905F3">
                    <w:pPr>
                      <w:spacing w:before="8"/>
                      <w:ind w:left="20"/>
                      <w:rPr>
                        <w:sz w:val="36"/>
                        <w:szCs w:val="36"/>
                      </w:rPr>
                    </w:pPr>
                    <w:r w:rsidRPr="00646CD9">
                      <w:rPr>
                        <w:sz w:val="36"/>
                        <w:szCs w:val="36"/>
                      </w:rPr>
                      <w:t xml:space="preserve">EHE </w:t>
                    </w:r>
                    <w:r w:rsidR="00646CD9" w:rsidRPr="00646CD9">
                      <w:rPr>
                        <w:sz w:val="36"/>
                        <w:szCs w:val="36"/>
                      </w:rPr>
                      <w:t xml:space="preserve">Independent </w:t>
                    </w:r>
                    <w:r w:rsidR="00646CD9">
                      <w:rPr>
                        <w:sz w:val="36"/>
                        <w:szCs w:val="36"/>
                      </w:rPr>
                      <w:t xml:space="preserve">Contractor </w:t>
                    </w:r>
                    <w:r w:rsidR="00770B34">
                      <w:rPr>
                        <w:sz w:val="36"/>
                        <w:szCs w:val="36"/>
                      </w:rPr>
                      <w:t xml:space="preserve">Approval </w:t>
                    </w:r>
                    <w:r w:rsidR="00646CD9" w:rsidRPr="00646CD9">
                      <w:rPr>
                        <w:sz w:val="36"/>
                        <w:szCs w:val="36"/>
                      </w:rPr>
                      <w:t>Process</w:t>
                    </w:r>
                  </w:p>
                </w:txbxContent>
              </v:textbox>
              <w10:wrap anchorx="page" anchory="page"/>
            </v:shape>
          </w:pict>
        </mc:Fallback>
      </mc:AlternateContent>
    </w:r>
    <w:r w:rsidR="00371DB0">
      <w:rPr>
        <w:noProof/>
      </w:rPr>
      <w:drawing>
        <wp:anchor distT="0" distB="0" distL="0" distR="0" simplePos="0" relativeHeight="251656192" behindDoc="1" locked="0" layoutInCell="1" allowOverlap="1" wp14:anchorId="710723E0" wp14:editId="710723E1">
          <wp:simplePos x="0" y="0"/>
          <wp:positionH relativeFrom="page">
            <wp:posOffset>447675</wp:posOffset>
          </wp:positionH>
          <wp:positionV relativeFrom="page">
            <wp:posOffset>113322</wp:posOffset>
          </wp:positionV>
          <wp:extent cx="2706369" cy="813434"/>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2706369" cy="813434"/>
                  </a:xfrm>
                  <a:prstGeom prst="rect">
                    <a:avLst/>
                  </a:prstGeom>
                </pic:spPr>
              </pic:pic>
            </a:graphicData>
          </a:graphic>
        </wp:anchor>
      </w:drawing>
    </w:r>
    <w:r w:rsidR="00931DC7">
      <w:rPr>
        <w:noProof/>
      </w:rPr>
      <mc:AlternateContent>
        <mc:Choice Requires="wps">
          <w:drawing>
            <wp:anchor distT="0" distB="0" distL="114300" distR="114300" simplePos="0" relativeHeight="251658240" behindDoc="1" locked="0" layoutInCell="1" allowOverlap="1" wp14:anchorId="710723E2" wp14:editId="5C05E0EF">
              <wp:simplePos x="0" y="0"/>
              <wp:positionH relativeFrom="page">
                <wp:posOffset>666750</wp:posOffset>
              </wp:positionH>
              <wp:positionV relativeFrom="page">
                <wp:posOffset>1212850</wp:posOffset>
              </wp:positionV>
              <wp:extent cx="6438900" cy="38100"/>
              <wp:effectExtent l="0" t="0" r="0" b="0"/>
              <wp:wrapNone/>
              <wp:docPr id="3"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8900" cy="381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BC3D3A" id="docshape1" o:spid="_x0000_s1026" style="position:absolute;margin-left:52.5pt;margin-top:95.5pt;width:507pt;height:3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" fillcolor="black" stroked="f">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C207AD"/>
    <w:multiLevelType w:val="hybridMultilevel"/>
    <w:tmpl w:val="58342B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501D1F"/>
    <w:multiLevelType w:val="hybridMultilevel"/>
    <w:tmpl w:val="D50CA8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3D2D0F"/>
    <w:multiLevelType w:val="multilevel"/>
    <w:tmpl w:val="9BBE5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6250DF"/>
    <w:multiLevelType w:val="hybridMultilevel"/>
    <w:tmpl w:val="914C84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1B33F5"/>
    <w:multiLevelType w:val="hybridMultilevel"/>
    <w:tmpl w:val="E05CD9B6"/>
    <w:lvl w:ilvl="0" w:tplc="DEE49592">
      <w:numFmt w:val="bullet"/>
      <w:lvlText w:val=""/>
      <w:lvlJc w:val="left"/>
      <w:pPr>
        <w:ind w:left="859" w:hanging="360"/>
      </w:pPr>
      <w:rPr>
        <w:rFonts w:ascii="Symbol" w:eastAsia="Symbol" w:hAnsi="Symbol" w:cs="Symbol" w:hint="default"/>
        <w:b w:val="0"/>
        <w:bCs w:val="0"/>
        <w:i w:val="0"/>
        <w:iCs w:val="0"/>
        <w:w w:val="99"/>
        <w:sz w:val="22"/>
        <w:szCs w:val="22"/>
        <w:lang w:val="en-US" w:eastAsia="en-US" w:bidi="ar-SA"/>
      </w:rPr>
    </w:lvl>
    <w:lvl w:ilvl="1" w:tplc="6E3ED0A6">
      <w:numFmt w:val="bullet"/>
      <w:lvlText w:val="o"/>
      <w:lvlJc w:val="left"/>
      <w:pPr>
        <w:ind w:left="1579" w:hanging="360"/>
      </w:pPr>
      <w:rPr>
        <w:rFonts w:ascii="Courier New" w:eastAsia="Courier New" w:hAnsi="Courier New" w:cs="Courier New" w:hint="default"/>
        <w:b w:val="0"/>
        <w:bCs w:val="0"/>
        <w:i w:val="0"/>
        <w:iCs w:val="0"/>
        <w:w w:val="99"/>
        <w:sz w:val="22"/>
        <w:szCs w:val="22"/>
        <w:lang w:val="en-US" w:eastAsia="en-US" w:bidi="ar-SA"/>
      </w:rPr>
    </w:lvl>
    <w:lvl w:ilvl="2" w:tplc="1EDC317E">
      <w:numFmt w:val="bullet"/>
      <w:lvlText w:val=""/>
      <w:lvlJc w:val="left"/>
      <w:pPr>
        <w:ind w:left="2299" w:hanging="360"/>
      </w:pPr>
      <w:rPr>
        <w:rFonts w:ascii="Wingdings" w:eastAsia="Wingdings" w:hAnsi="Wingdings" w:cs="Wingdings" w:hint="default"/>
        <w:b w:val="0"/>
        <w:bCs w:val="0"/>
        <w:i w:val="0"/>
        <w:iCs w:val="0"/>
        <w:w w:val="99"/>
        <w:sz w:val="22"/>
        <w:szCs w:val="22"/>
        <w:lang w:val="en-US" w:eastAsia="en-US" w:bidi="ar-SA"/>
      </w:rPr>
    </w:lvl>
    <w:lvl w:ilvl="3" w:tplc="229055F4">
      <w:numFmt w:val="bullet"/>
      <w:lvlText w:val="•"/>
      <w:lvlJc w:val="left"/>
      <w:pPr>
        <w:ind w:left="3307" w:hanging="360"/>
      </w:pPr>
      <w:rPr>
        <w:rFonts w:hint="default"/>
        <w:lang w:val="en-US" w:eastAsia="en-US" w:bidi="ar-SA"/>
      </w:rPr>
    </w:lvl>
    <w:lvl w:ilvl="4" w:tplc="F7787F10">
      <w:numFmt w:val="bullet"/>
      <w:lvlText w:val="•"/>
      <w:lvlJc w:val="left"/>
      <w:pPr>
        <w:ind w:left="4315" w:hanging="360"/>
      </w:pPr>
      <w:rPr>
        <w:rFonts w:hint="default"/>
        <w:lang w:val="en-US" w:eastAsia="en-US" w:bidi="ar-SA"/>
      </w:rPr>
    </w:lvl>
    <w:lvl w:ilvl="5" w:tplc="21BA254C">
      <w:numFmt w:val="bullet"/>
      <w:lvlText w:val="•"/>
      <w:lvlJc w:val="left"/>
      <w:pPr>
        <w:ind w:left="5322" w:hanging="360"/>
      </w:pPr>
      <w:rPr>
        <w:rFonts w:hint="default"/>
        <w:lang w:val="en-US" w:eastAsia="en-US" w:bidi="ar-SA"/>
      </w:rPr>
    </w:lvl>
    <w:lvl w:ilvl="6" w:tplc="221E30A2">
      <w:numFmt w:val="bullet"/>
      <w:lvlText w:val="•"/>
      <w:lvlJc w:val="left"/>
      <w:pPr>
        <w:ind w:left="6330" w:hanging="360"/>
      </w:pPr>
      <w:rPr>
        <w:rFonts w:hint="default"/>
        <w:lang w:val="en-US" w:eastAsia="en-US" w:bidi="ar-SA"/>
      </w:rPr>
    </w:lvl>
    <w:lvl w:ilvl="7" w:tplc="3B881E50">
      <w:numFmt w:val="bullet"/>
      <w:lvlText w:val="•"/>
      <w:lvlJc w:val="left"/>
      <w:pPr>
        <w:ind w:left="7337" w:hanging="360"/>
      </w:pPr>
      <w:rPr>
        <w:rFonts w:hint="default"/>
        <w:lang w:val="en-US" w:eastAsia="en-US" w:bidi="ar-SA"/>
      </w:rPr>
    </w:lvl>
    <w:lvl w:ilvl="8" w:tplc="67222306">
      <w:numFmt w:val="bullet"/>
      <w:lvlText w:val="•"/>
      <w:lvlJc w:val="left"/>
      <w:pPr>
        <w:ind w:left="8345" w:hanging="360"/>
      </w:pPr>
      <w:rPr>
        <w:rFonts w:hint="default"/>
        <w:lang w:val="en-US" w:eastAsia="en-US" w:bidi="ar-SA"/>
      </w:rPr>
    </w:lvl>
  </w:abstractNum>
  <w:abstractNum w:abstractNumId="5" w15:restartNumberingAfterBreak="0">
    <w:nsid w:val="20ED59D1"/>
    <w:multiLevelType w:val="hybridMultilevel"/>
    <w:tmpl w:val="FD704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19030D"/>
    <w:multiLevelType w:val="hybridMultilevel"/>
    <w:tmpl w:val="95F44C8E"/>
    <w:lvl w:ilvl="0" w:tplc="355EC3D4">
      <w:numFmt w:val="bullet"/>
      <w:lvlText w:val=""/>
      <w:lvlJc w:val="left"/>
      <w:pPr>
        <w:ind w:left="468" w:hanging="360"/>
      </w:pPr>
      <w:rPr>
        <w:rFonts w:ascii="Symbol" w:eastAsia="Symbol" w:hAnsi="Symbol" w:cs="Symbol" w:hint="default"/>
        <w:b w:val="0"/>
        <w:bCs w:val="0"/>
        <w:i w:val="0"/>
        <w:iCs w:val="0"/>
        <w:w w:val="99"/>
        <w:sz w:val="22"/>
        <w:szCs w:val="22"/>
        <w:lang w:val="en-US" w:eastAsia="en-US" w:bidi="ar-SA"/>
      </w:rPr>
    </w:lvl>
    <w:lvl w:ilvl="1" w:tplc="10281136">
      <w:numFmt w:val="bullet"/>
      <w:lvlText w:val="•"/>
      <w:lvlJc w:val="left"/>
      <w:pPr>
        <w:ind w:left="1195" w:hanging="360"/>
      </w:pPr>
      <w:rPr>
        <w:rFonts w:hint="default"/>
        <w:lang w:val="en-US" w:eastAsia="en-US" w:bidi="ar-SA"/>
      </w:rPr>
    </w:lvl>
    <w:lvl w:ilvl="2" w:tplc="A6E8A986">
      <w:numFmt w:val="bullet"/>
      <w:lvlText w:val="•"/>
      <w:lvlJc w:val="left"/>
      <w:pPr>
        <w:ind w:left="1931" w:hanging="360"/>
      </w:pPr>
      <w:rPr>
        <w:rFonts w:hint="default"/>
        <w:lang w:val="en-US" w:eastAsia="en-US" w:bidi="ar-SA"/>
      </w:rPr>
    </w:lvl>
    <w:lvl w:ilvl="3" w:tplc="1548CBBC">
      <w:numFmt w:val="bullet"/>
      <w:lvlText w:val="•"/>
      <w:lvlJc w:val="left"/>
      <w:pPr>
        <w:ind w:left="2666" w:hanging="360"/>
      </w:pPr>
      <w:rPr>
        <w:rFonts w:hint="default"/>
        <w:lang w:val="en-US" w:eastAsia="en-US" w:bidi="ar-SA"/>
      </w:rPr>
    </w:lvl>
    <w:lvl w:ilvl="4" w:tplc="8CE239BA">
      <w:numFmt w:val="bullet"/>
      <w:lvlText w:val="•"/>
      <w:lvlJc w:val="left"/>
      <w:pPr>
        <w:ind w:left="3402" w:hanging="360"/>
      </w:pPr>
      <w:rPr>
        <w:rFonts w:hint="default"/>
        <w:lang w:val="en-US" w:eastAsia="en-US" w:bidi="ar-SA"/>
      </w:rPr>
    </w:lvl>
    <w:lvl w:ilvl="5" w:tplc="E4C62404">
      <w:numFmt w:val="bullet"/>
      <w:lvlText w:val="•"/>
      <w:lvlJc w:val="left"/>
      <w:pPr>
        <w:ind w:left="4137" w:hanging="360"/>
      </w:pPr>
      <w:rPr>
        <w:rFonts w:hint="default"/>
        <w:lang w:val="en-US" w:eastAsia="en-US" w:bidi="ar-SA"/>
      </w:rPr>
    </w:lvl>
    <w:lvl w:ilvl="6" w:tplc="2D74356A">
      <w:numFmt w:val="bullet"/>
      <w:lvlText w:val="•"/>
      <w:lvlJc w:val="left"/>
      <w:pPr>
        <w:ind w:left="4873" w:hanging="360"/>
      </w:pPr>
      <w:rPr>
        <w:rFonts w:hint="default"/>
        <w:lang w:val="en-US" w:eastAsia="en-US" w:bidi="ar-SA"/>
      </w:rPr>
    </w:lvl>
    <w:lvl w:ilvl="7" w:tplc="9DDA1D82">
      <w:numFmt w:val="bullet"/>
      <w:lvlText w:val="•"/>
      <w:lvlJc w:val="left"/>
      <w:pPr>
        <w:ind w:left="5608" w:hanging="360"/>
      </w:pPr>
      <w:rPr>
        <w:rFonts w:hint="default"/>
        <w:lang w:val="en-US" w:eastAsia="en-US" w:bidi="ar-SA"/>
      </w:rPr>
    </w:lvl>
    <w:lvl w:ilvl="8" w:tplc="6B8EA7F4">
      <w:numFmt w:val="bullet"/>
      <w:lvlText w:val="•"/>
      <w:lvlJc w:val="left"/>
      <w:pPr>
        <w:ind w:left="6344" w:hanging="360"/>
      </w:pPr>
      <w:rPr>
        <w:rFonts w:hint="default"/>
        <w:lang w:val="en-US" w:eastAsia="en-US" w:bidi="ar-SA"/>
      </w:rPr>
    </w:lvl>
  </w:abstractNum>
  <w:abstractNum w:abstractNumId="7" w15:restartNumberingAfterBreak="0">
    <w:nsid w:val="265E1461"/>
    <w:multiLevelType w:val="hybridMultilevel"/>
    <w:tmpl w:val="570857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A2917F7"/>
    <w:multiLevelType w:val="hybridMultilevel"/>
    <w:tmpl w:val="4802D3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6B3FEA"/>
    <w:multiLevelType w:val="hybridMultilevel"/>
    <w:tmpl w:val="675CC3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330086C"/>
    <w:multiLevelType w:val="hybridMultilevel"/>
    <w:tmpl w:val="578873B0"/>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39EA01E6"/>
    <w:multiLevelType w:val="hybridMultilevel"/>
    <w:tmpl w:val="1EE232CE"/>
    <w:lvl w:ilvl="0" w:tplc="93883542">
      <w:numFmt w:val="bullet"/>
      <w:lvlText w:val=""/>
      <w:lvlJc w:val="left"/>
      <w:pPr>
        <w:ind w:left="573" w:hanging="360"/>
      </w:pPr>
      <w:rPr>
        <w:rFonts w:ascii="Symbol" w:eastAsia="Symbol" w:hAnsi="Symbol" w:cs="Symbol" w:hint="default"/>
        <w:b w:val="0"/>
        <w:bCs w:val="0"/>
        <w:i w:val="0"/>
        <w:iCs w:val="0"/>
        <w:w w:val="99"/>
        <w:sz w:val="22"/>
        <w:szCs w:val="22"/>
        <w:lang w:val="en-US" w:eastAsia="en-US" w:bidi="ar-SA"/>
      </w:rPr>
    </w:lvl>
    <w:lvl w:ilvl="1" w:tplc="7264E466">
      <w:numFmt w:val="bullet"/>
      <w:lvlText w:val="•"/>
      <w:lvlJc w:val="left"/>
      <w:pPr>
        <w:ind w:left="1303" w:hanging="360"/>
      </w:pPr>
      <w:rPr>
        <w:rFonts w:hint="default"/>
        <w:lang w:val="en-US" w:eastAsia="en-US" w:bidi="ar-SA"/>
      </w:rPr>
    </w:lvl>
    <w:lvl w:ilvl="2" w:tplc="BC8CB65A">
      <w:numFmt w:val="bullet"/>
      <w:lvlText w:val="•"/>
      <w:lvlJc w:val="left"/>
      <w:pPr>
        <w:ind w:left="2027" w:hanging="360"/>
      </w:pPr>
      <w:rPr>
        <w:rFonts w:hint="default"/>
        <w:lang w:val="en-US" w:eastAsia="en-US" w:bidi="ar-SA"/>
      </w:rPr>
    </w:lvl>
    <w:lvl w:ilvl="3" w:tplc="28A80F8E">
      <w:numFmt w:val="bullet"/>
      <w:lvlText w:val="•"/>
      <w:lvlJc w:val="left"/>
      <w:pPr>
        <w:ind w:left="2750" w:hanging="360"/>
      </w:pPr>
      <w:rPr>
        <w:rFonts w:hint="default"/>
        <w:lang w:val="en-US" w:eastAsia="en-US" w:bidi="ar-SA"/>
      </w:rPr>
    </w:lvl>
    <w:lvl w:ilvl="4" w:tplc="33D4963C">
      <w:numFmt w:val="bullet"/>
      <w:lvlText w:val="•"/>
      <w:lvlJc w:val="left"/>
      <w:pPr>
        <w:ind w:left="3474" w:hanging="360"/>
      </w:pPr>
      <w:rPr>
        <w:rFonts w:hint="default"/>
        <w:lang w:val="en-US" w:eastAsia="en-US" w:bidi="ar-SA"/>
      </w:rPr>
    </w:lvl>
    <w:lvl w:ilvl="5" w:tplc="180CD760">
      <w:numFmt w:val="bullet"/>
      <w:lvlText w:val="•"/>
      <w:lvlJc w:val="left"/>
      <w:pPr>
        <w:ind w:left="4197" w:hanging="360"/>
      </w:pPr>
      <w:rPr>
        <w:rFonts w:hint="default"/>
        <w:lang w:val="en-US" w:eastAsia="en-US" w:bidi="ar-SA"/>
      </w:rPr>
    </w:lvl>
    <w:lvl w:ilvl="6" w:tplc="3648ECB8">
      <w:numFmt w:val="bullet"/>
      <w:lvlText w:val="•"/>
      <w:lvlJc w:val="left"/>
      <w:pPr>
        <w:ind w:left="4921" w:hanging="360"/>
      </w:pPr>
      <w:rPr>
        <w:rFonts w:hint="default"/>
        <w:lang w:val="en-US" w:eastAsia="en-US" w:bidi="ar-SA"/>
      </w:rPr>
    </w:lvl>
    <w:lvl w:ilvl="7" w:tplc="12A21A7C">
      <w:numFmt w:val="bullet"/>
      <w:lvlText w:val="•"/>
      <w:lvlJc w:val="left"/>
      <w:pPr>
        <w:ind w:left="5644" w:hanging="360"/>
      </w:pPr>
      <w:rPr>
        <w:rFonts w:hint="default"/>
        <w:lang w:val="en-US" w:eastAsia="en-US" w:bidi="ar-SA"/>
      </w:rPr>
    </w:lvl>
    <w:lvl w:ilvl="8" w:tplc="4880CF46">
      <w:numFmt w:val="bullet"/>
      <w:lvlText w:val="•"/>
      <w:lvlJc w:val="left"/>
      <w:pPr>
        <w:ind w:left="6368" w:hanging="360"/>
      </w:pPr>
      <w:rPr>
        <w:rFonts w:hint="default"/>
        <w:lang w:val="en-US" w:eastAsia="en-US" w:bidi="ar-SA"/>
      </w:rPr>
    </w:lvl>
  </w:abstractNum>
  <w:abstractNum w:abstractNumId="12" w15:restartNumberingAfterBreak="0">
    <w:nsid w:val="4A584951"/>
    <w:multiLevelType w:val="multilevel"/>
    <w:tmpl w:val="FD3EB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B066F2F"/>
    <w:multiLevelType w:val="hybridMultilevel"/>
    <w:tmpl w:val="A59601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2E15B04"/>
    <w:multiLevelType w:val="hybridMultilevel"/>
    <w:tmpl w:val="D572F8AE"/>
    <w:lvl w:ilvl="0" w:tplc="E9F89012">
      <w:numFmt w:val="bullet"/>
      <w:lvlText w:val=""/>
      <w:lvlJc w:val="left"/>
      <w:pPr>
        <w:ind w:left="469" w:hanging="360"/>
      </w:pPr>
      <w:rPr>
        <w:rFonts w:ascii="Symbol" w:eastAsia="Symbol" w:hAnsi="Symbol" w:cs="Symbol" w:hint="default"/>
        <w:b w:val="0"/>
        <w:bCs w:val="0"/>
        <w:i w:val="0"/>
        <w:iCs w:val="0"/>
        <w:w w:val="99"/>
        <w:sz w:val="22"/>
        <w:szCs w:val="22"/>
        <w:lang w:val="en-US" w:eastAsia="en-US" w:bidi="ar-SA"/>
      </w:rPr>
    </w:lvl>
    <w:lvl w:ilvl="1" w:tplc="85AEEDB8">
      <w:numFmt w:val="bullet"/>
      <w:lvlText w:val="•"/>
      <w:lvlJc w:val="left"/>
      <w:pPr>
        <w:ind w:left="1195" w:hanging="360"/>
      </w:pPr>
      <w:rPr>
        <w:rFonts w:hint="default"/>
        <w:lang w:val="en-US" w:eastAsia="en-US" w:bidi="ar-SA"/>
      </w:rPr>
    </w:lvl>
    <w:lvl w:ilvl="2" w:tplc="641CE90C">
      <w:numFmt w:val="bullet"/>
      <w:lvlText w:val="•"/>
      <w:lvlJc w:val="left"/>
      <w:pPr>
        <w:ind w:left="1931" w:hanging="360"/>
      </w:pPr>
      <w:rPr>
        <w:rFonts w:hint="default"/>
        <w:lang w:val="en-US" w:eastAsia="en-US" w:bidi="ar-SA"/>
      </w:rPr>
    </w:lvl>
    <w:lvl w:ilvl="3" w:tplc="1E365B06">
      <w:numFmt w:val="bullet"/>
      <w:lvlText w:val="•"/>
      <w:lvlJc w:val="left"/>
      <w:pPr>
        <w:ind w:left="2666" w:hanging="360"/>
      </w:pPr>
      <w:rPr>
        <w:rFonts w:hint="default"/>
        <w:lang w:val="en-US" w:eastAsia="en-US" w:bidi="ar-SA"/>
      </w:rPr>
    </w:lvl>
    <w:lvl w:ilvl="4" w:tplc="4FB44712">
      <w:numFmt w:val="bullet"/>
      <w:lvlText w:val="•"/>
      <w:lvlJc w:val="left"/>
      <w:pPr>
        <w:ind w:left="3402" w:hanging="360"/>
      </w:pPr>
      <w:rPr>
        <w:rFonts w:hint="default"/>
        <w:lang w:val="en-US" w:eastAsia="en-US" w:bidi="ar-SA"/>
      </w:rPr>
    </w:lvl>
    <w:lvl w:ilvl="5" w:tplc="D12E6686">
      <w:numFmt w:val="bullet"/>
      <w:lvlText w:val="•"/>
      <w:lvlJc w:val="left"/>
      <w:pPr>
        <w:ind w:left="4137" w:hanging="360"/>
      </w:pPr>
      <w:rPr>
        <w:rFonts w:hint="default"/>
        <w:lang w:val="en-US" w:eastAsia="en-US" w:bidi="ar-SA"/>
      </w:rPr>
    </w:lvl>
    <w:lvl w:ilvl="6" w:tplc="9B70B70C">
      <w:numFmt w:val="bullet"/>
      <w:lvlText w:val="•"/>
      <w:lvlJc w:val="left"/>
      <w:pPr>
        <w:ind w:left="4873" w:hanging="360"/>
      </w:pPr>
      <w:rPr>
        <w:rFonts w:hint="default"/>
        <w:lang w:val="en-US" w:eastAsia="en-US" w:bidi="ar-SA"/>
      </w:rPr>
    </w:lvl>
    <w:lvl w:ilvl="7" w:tplc="D7D23C18">
      <w:numFmt w:val="bullet"/>
      <w:lvlText w:val="•"/>
      <w:lvlJc w:val="left"/>
      <w:pPr>
        <w:ind w:left="5608" w:hanging="360"/>
      </w:pPr>
      <w:rPr>
        <w:rFonts w:hint="default"/>
        <w:lang w:val="en-US" w:eastAsia="en-US" w:bidi="ar-SA"/>
      </w:rPr>
    </w:lvl>
    <w:lvl w:ilvl="8" w:tplc="EB084DEA">
      <w:numFmt w:val="bullet"/>
      <w:lvlText w:val="•"/>
      <w:lvlJc w:val="left"/>
      <w:pPr>
        <w:ind w:left="6344" w:hanging="360"/>
      </w:pPr>
      <w:rPr>
        <w:rFonts w:hint="default"/>
        <w:lang w:val="en-US" w:eastAsia="en-US" w:bidi="ar-SA"/>
      </w:rPr>
    </w:lvl>
  </w:abstractNum>
  <w:abstractNum w:abstractNumId="15" w15:restartNumberingAfterBreak="0">
    <w:nsid w:val="55F13E0B"/>
    <w:multiLevelType w:val="hybridMultilevel"/>
    <w:tmpl w:val="B9CAEF5A"/>
    <w:lvl w:ilvl="0" w:tplc="678A9A36">
      <w:numFmt w:val="bullet"/>
      <w:lvlText w:val=""/>
      <w:lvlJc w:val="left"/>
      <w:pPr>
        <w:ind w:left="468" w:hanging="360"/>
      </w:pPr>
      <w:rPr>
        <w:rFonts w:ascii="Symbol" w:eastAsia="Symbol" w:hAnsi="Symbol" w:cs="Symbol" w:hint="default"/>
        <w:b w:val="0"/>
        <w:bCs w:val="0"/>
        <w:i w:val="0"/>
        <w:iCs w:val="0"/>
        <w:w w:val="99"/>
        <w:sz w:val="22"/>
        <w:szCs w:val="22"/>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7EB26B1"/>
    <w:multiLevelType w:val="hybridMultilevel"/>
    <w:tmpl w:val="0FB884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8DF1CD7"/>
    <w:multiLevelType w:val="hybridMultilevel"/>
    <w:tmpl w:val="366A02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DD376D8"/>
    <w:multiLevelType w:val="hybridMultilevel"/>
    <w:tmpl w:val="397CCA28"/>
    <w:lvl w:ilvl="0" w:tplc="E9E22390">
      <w:numFmt w:val="bullet"/>
      <w:lvlText w:val=""/>
      <w:lvlJc w:val="left"/>
      <w:pPr>
        <w:ind w:left="467" w:hanging="360"/>
      </w:pPr>
      <w:rPr>
        <w:rFonts w:ascii="Symbol" w:eastAsia="Symbol" w:hAnsi="Symbol" w:cs="Symbol" w:hint="default"/>
        <w:b w:val="0"/>
        <w:bCs w:val="0"/>
        <w:i w:val="0"/>
        <w:iCs w:val="0"/>
        <w:w w:val="99"/>
        <w:sz w:val="22"/>
        <w:szCs w:val="22"/>
        <w:lang w:val="en-US" w:eastAsia="en-US" w:bidi="ar-SA"/>
      </w:rPr>
    </w:lvl>
    <w:lvl w:ilvl="1" w:tplc="B2702078">
      <w:numFmt w:val="bullet"/>
      <w:lvlText w:val="•"/>
      <w:lvlJc w:val="left"/>
      <w:pPr>
        <w:ind w:left="1195" w:hanging="360"/>
      </w:pPr>
      <w:rPr>
        <w:rFonts w:hint="default"/>
        <w:lang w:val="en-US" w:eastAsia="en-US" w:bidi="ar-SA"/>
      </w:rPr>
    </w:lvl>
    <w:lvl w:ilvl="2" w:tplc="FBE2912E">
      <w:numFmt w:val="bullet"/>
      <w:lvlText w:val="•"/>
      <w:lvlJc w:val="left"/>
      <w:pPr>
        <w:ind w:left="1931" w:hanging="360"/>
      </w:pPr>
      <w:rPr>
        <w:rFonts w:hint="default"/>
        <w:lang w:val="en-US" w:eastAsia="en-US" w:bidi="ar-SA"/>
      </w:rPr>
    </w:lvl>
    <w:lvl w:ilvl="3" w:tplc="39A83FE2">
      <w:numFmt w:val="bullet"/>
      <w:lvlText w:val="•"/>
      <w:lvlJc w:val="left"/>
      <w:pPr>
        <w:ind w:left="2666" w:hanging="360"/>
      </w:pPr>
      <w:rPr>
        <w:rFonts w:hint="default"/>
        <w:lang w:val="en-US" w:eastAsia="en-US" w:bidi="ar-SA"/>
      </w:rPr>
    </w:lvl>
    <w:lvl w:ilvl="4" w:tplc="450EB648">
      <w:numFmt w:val="bullet"/>
      <w:lvlText w:val="•"/>
      <w:lvlJc w:val="left"/>
      <w:pPr>
        <w:ind w:left="3402" w:hanging="360"/>
      </w:pPr>
      <w:rPr>
        <w:rFonts w:hint="default"/>
        <w:lang w:val="en-US" w:eastAsia="en-US" w:bidi="ar-SA"/>
      </w:rPr>
    </w:lvl>
    <w:lvl w:ilvl="5" w:tplc="8856B1EA">
      <w:numFmt w:val="bullet"/>
      <w:lvlText w:val="•"/>
      <w:lvlJc w:val="left"/>
      <w:pPr>
        <w:ind w:left="4137" w:hanging="360"/>
      </w:pPr>
      <w:rPr>
        <w:rFonts w:hint="default"/>
        <w:lang w:val="en-US" w:eastAsia="en-US" w:bidi="ar-SA"/>
      </w:rPr>
    </w:lvl>
    <w:lvl w:ilvl="6" w:tplc="DD6E4D92">
      <w:numFmt w:val="bullet"/>
      <w:lvlText w:val="•"/>
      <w:lvlJc w:val="left"/>
      <w:pPr>
        <w:ind w:left="4873" w:hanging="360"/>
      </w:pPr>
      <w:rPr>
        <w:rFonts w:hint="default"/>
        <w:lang w:val="en-US" w:eastAsia="en-US" w:bidi="ar-SA"/>
      </w:rPr>
    </w:lvl>
    <w:lvl w:ilvl="7" w:tplc="5FFA7936">
      <w:numFmt w:val="bullet"/>
      <w:lvlText w:val="•"/>
      <w:lvlJc w:val="left"/>
      <w:pPr>
        <w:ind w:left="5608" w:hanging="360"/>
      </w:pPr>
      <w:rPr>
        <w:rFonts w:hint="default"/>
        <w:lang w:val="en-US" w:eastAsia="en-US" w:bidi="ar-SA"/>
      </w:rPr>
    </w:lvl>
    <w:lvl w:ilvl="8" w:tplc="6A747C94">
      <w:numFmt w:val="bullet"/>
      <w:lvlText w:val="•"/>
      <w:lvlJc w:val="left"/>
      <w:pPr>
        <w:ind w:left="6344" w:hanging="360"/>
      </w:pPr>
      <w:rPr>
        <w:rFonts w:hint="default"/>
        <w:lang w:val="en-US" w:eastAsia="en-US" w:bidi="ar-SA"/>
      </w:rPr>
    </w:lvl>
  </w:abstractNum>
  <w:abstractNum w:abstractNumId="19" w15:restartNumberingAfterBreak="0">
    <w:nsid w:val="74244F83"/>
    <w:multiLevelType w:val="hybridMultilevel"/>
    <w:tmpl w:val="33F8FE84"/>
    <w:lvl w:ilvl="0" w:tplc="A7B41F8C">
      <w:numFmt w:val="bullet"/>
      <w:lvlText w:val=""/>
      <w:lvlJc w:val="left"/>
      <w:pPr>
        <w:ind w:left="467" w:hanging="360"/>
      </w:pPr>
      <w:rPr>
        <w:rFonts w:ascii="Symbol" w:eastAsia="Symbol" w:hAnsi="Symbol" w:cs="Symbol" w:hint="default"/>
        <w:b w:val="0"/>
        <w:bCs w:val="0"/>
        <w:i w:val="0"/>
        <w:iCs w:val="0"/>
        <w:w w:val="99"/>
        <w:sz w:val="22"/>
        <w:szCs w:val="22"/>
        <w:lang w:val="en-US" w:eastAsia="en-US" w:bidi="ar-SA"/>
      </w:rPr>
    </w:lvl>
    <w:lvl w:ilvl="1" w:tplc="ACAE397A">
      <w:numFmt w:val="bullet"/>
      <w:lvlText w:val="•"/>
      <w:lvlJc w:val="left"/>
      <w:pPr>
        <w:ind w:left="1195" w:hanging="360"/>
      </w:pPr>
      <w:rPr>
        <w:rFonts w:hint="default"/>
        <w:lang w:val="en-US" w:eastAsia="en-US" w:bidi="ar-SA"/>
      </w:rPr>
    </w:lvl>
    <w:lvl w:ilvl="2" w:tplc="8B8AA114">
      <w:numFmt w:val="bullet"/>
      <w:lvlText w:val="•"/>
      <w:lvlJc w:val="left"/>
      <w:pPr>
        <w:ind w:left="1931" w:hanging="360"/>
      </w:pPr>
      <w:rPr>
        <w:rFonts w:hint="default"/>
        <w:lang w:val="en-US" w:eastAsia="en-US" w:bidi="ar-SA"/>
      </w:rPr>
    </w:lvl>
    <w:lvl w:ilvl="3" w:tplc="1994CA58">
      <w:numFmt w:val="bullet"/>
      <w:lvlText w:val="•"/>
      <w:lvlJc w:val="left"/>
      <w:pPr>
        <w:ind w:left="2666" w:hanging="360"/>
      </w:pPr>
      <w:rPr>
        <w:rFonts w:hint="default"/>
        <w:lang w:val="en-US" w:eastAsia="en-US" w:bidi="ar-SA"/>
      </w:rPr>
    </w:lvl>
    <w:lvl w:ilvl="4" w:tplc="17268A28">
      <w:numFmt w:val="bullet"/>
      <w:lvlText w:val="•"/>
      <w:lvlJc w:val="left"/>
      <w:pPr>
        <w:ind w:left="3402" w:hanging="360"/>
      </w:pPr>
      <w:rPr>
        <w:rFonts w:hint="default"/>
        <w:lang w:val="en-US" w:eastAsia="en-US" w:bidi="ar-SA"/>
      </w:rPr>
    </w:lvl>
    <w:lvl w:ilvl="5" w:tplc="85766E22">
      <w:numFmt w:val="bullet"/>
      <w:lvlText w:val="•"/>
      <w:lvlJc w:val="left"/>
      <w:pPr>
        <w:ind w:left="4137" w:hanging="360"/>
      </w:pPr>
      <w:rPr>
        <w:rFonts w:hint="default"/>
        <w:lang w:val="en-US" w:eastAsia="en-US" w:bidi="ar-SA"/>
      </w:rPr>
    </w:lvl>
    <w:lvl w:ilvl="6" w:tplc="732032CA">
      <w:numFmt w:val="bullet"/>
      <w:lvlText w:val="•"/>
      <w:lvlJc w:val="left"/>
      <w:pPr>
        <w:ind w:left="4873" w:hanging="360"/>
      </w:pPr>
      <w:rPr>
        <w:rFonts w:hint="default"/>
        <w:lang w:val="en-US" w:eastAsia="en-US" w:bidi="ar-SA"/>
      </w:rPr>
    </w:lvl>
    <w:lvl w:ilvl="7" w:tplc="DF787D44">
      <w:numFmt w:val="bullet"/>
      <w:lvlText w:val="•"/>
      <w:lvlJc w:val="left"/>
      <w:pPr>
        <w:ind w:left="5608" w:hanging="360"/>
      </w:pPr>
      <w:rPr>
        <w:rFonts w:hint="default"/>
        <w:lang w:val="en-US" w:eastAsia="en-US" w:bidi="ar-SA"/>
      </w:rPr>
    </w:lvl>
    <w:lvl w:ilvl="8" w:tplc="1DE8B050">
      <w:numFmt w:val="bullet"/>
      <w:lvlText w:val="•"/>
      <w:lvlJc w:val="left"/>
      <w:pPr>
        <w:ind w:left="6344" w:hanging="360"/>
      </w:pPr>
      <w:rPr>
        <w:rFonts w:hint="default"/>
        <w:lang w:val="en-US" w:eastAsia="en-US" w:bidi="ar-SA"/>
      </w:rPr>
    </w:lvl>
  </w:abstractNum>
  <w:abstractNum w:abstractNumId="20" w15:restartNumberingAfterBreak="0">
    <w:nsid w:val="78855ACC"/>
    <w:multiLevelType w:val="hybridMultilevel"/>
    <w:tmpl w:val="3B742062"/>
    <w:lvl w:ilvl="0" w:tplc="678A9A36">
      <w:numFmt w:val="bullet"/>
      <w:lvlText w:val=""/>
      <w:lvlJc w:val="left"/>
      <w:pPr>
        <w:ind w:left="468" w:hanging="360"/>
      </w:pPr>
      <w:rPr>
        <w:rFonts w:ascii="Symbol" w:eastAsia="Symbol" w:hAnsi="Symbol" w:cs="Symbol" w:hint="default"/>
        <w:b w:val="0"/>
        <w:bCs w:val="0"/>
        <w:i w:val="0"/>
        <w:iCs w:val="0"/>
        <w:w w:val="99"/>
        <w:sz w:val="22"/>
        <w:szCs w:val="22"/>
        <w:lang w:val="en-US" w:eastAsia="en-US" w:bidi="ar-SA"/>
      </w:rPr>
    </w:lvl>
    <w:lvl w:ilvl="1" w:tplc="AC0CC554">
      <w:numFmt w:val="bullet"/>
      <w:lvlText w:val="•"/>
      <w:lvlJc w:val="left"/>
      <w:pPr>
        <w:ind w:left="1195" w:hanging="360"/>
      </w:pPr>
      <w:rPr>
        <w:rFonts w:hint="default"/>
        <w:lang w:val="en-US" w:eastAsia="en-US" w:bidi="ar-SA"/>
      </w:rPr>
    </w:lvl>
    <w:lvl w:ilvl="2" w:tplc="D9B46002">
      <w:numFmt w:val="bullet"/>
      <w:lvlText w:val="•"/>
      <w:lvlJc w:val="left"/>
      <w:pPr>
        <w:ind w:left="1931" w:hanging="360"/>
      </w:pPr>
      <w:rPr>
        <w:rFonts w:hint="default"/>
        <w:lang w:val="en-US" w:eastAsia="en-US" w:bidi="ar-SA"/>
      </w:rPr>
    </w:lvl>
    <w:lvl w:ilvl="3" w:tplc="8E98DBCA">
      <w:numFmt w:val="bullet"/>
      <w:lvlText w:val="•"/>
      <w:lvlJc w:val="left"/>
      <w:pPr>
        <w:ind w:left="2666" w:hanging="360"/>
      </w:pPr>
      <w:rPr>
        <w:rFonts w:hint="default"/>
        <w:lang w:val="en-US" w:eastAsia="en-US" w:bidi="ar-SA"/>
      </w:rPr>
    </w:lvl>
    <w:lvl w:ilvl="4" w:tplc="7A3E16FE">
      <w:numFmt w:val="bullet"/>
      <w:lvlText w:val="•"/>
      <w:lvlJc w:val="left"/>
      <w:pPr>
        <w:ind w:left="3402" w:hanging="360"/>
      </w:pPr>
      <w:rPr>
        <w:rFonts w:hint="default"/>
        <w:lang w:val="en-US" w:eastAsia="en-US" w:bidi="ar-SA"/>
      </w:rPr>
    </w:lvl>
    <w:lvl w:ilvl="5" w:tplc="8E2E253A">
      <w:numFmt w:val="bullet"/>
      <w:lvlText w:val="•"/>
      <w:lvlJc w:val="left"/>
      <w:pPr>
        <w:ind w:left="4137" w:hanging="360"/>
      </w:pPr>
      <w:rPr>
        <w:rFonts w:hint="default"/>
        <w:lang w:val="en-US" w:eastAsia="en-US" w:bidi="ar-SA"/>
      </w:rPr>
    </w:lvl>
    <w:lvl w:ilvl="6" w:tplc="9C8A04BC">
      <w:numFmt w:val="bullet"/>
      <w:lvlText w:val="•"/>
      <w:lvlJc w:val="left"/>
      <w:pPr>
        <w:ind w:left="4873" w:hanging="360"/>
      </w:pPr>
      <w:rPr>
        <w:rFonts w:hint="default"/>
        <w:lang w:val="en-US" w:eastAsia="en-US" w:bidi="ar-SA"/>
      </w:rPr>
    </w:lvl>
    <w:lvl w:ilvl="7" w:tplc="1DE893A6">
      <w:numFmt w:val="bullet"/>
      <w:lvlText w:val="•"/>
      <w:lvlJc w:val="left"/>
      <w:pPr>
        <w:ind w:left="5608" w:hanging="360"/>
      </w:pPr>
      <w:rPr>
        <w:rFonts w:hint="default"/>
        <w:lang w:val="en-US" w:eastAsia="en-US" w:bidi="ar-SA"/>
      </w:rPr>
    </w:lvl>
    <w:lvl w:ilvl="8" w:tplc="D0C6D624">
      <w:numFmt w:val="bullet"/>
      <w:lvlText w:val="•"/>
      <w:lvlJc w:val="left"/>
      <w:pPr>
        <w:ind w:left="6344" w:hanging="360"/>
      </w:pPr>
      <w:rPr>
        <w:rFonts w:hint="default"/>
        <w:lang w:val="en-US" w:eastAsia="en-US" w:bidi="ar-SA"/>
      </w:rPr>
    </w:lvl>
  </w:abstractNum>
  <w:num w:numId="1" w16cid:durableId="677848411">
    <w:abstractNumId w:val="11"/>
  </w:num>
  <w:num w:numId="2" w16cid:durableId="2017732573">
    <w:abstractNumId w:val="19"/>
  </w:num>
  <w:num w:numId="3" w16cid:durableId="727265374">
    <w:abstractNumId w:val="6"/>
  </w:num>
  <w:num w:numId="4" w16cid:durableId="782925167">
    <w:abstractNumId w:val="20"/>
  </w:num>
  <w:num w:numId="5" w16cid:durableId="1692030928">
    <w:abstractNumId w:val="14"/>
  </w:num>
  <w:num w:numId="6" w16cid:durableId="1386834880">
    <w:abstractNumId w:val="18"/>
  </w:num>
  <w:num w:numId="7" w16cid:durableId="405106900">
    <w:abstractNumId w:val="4"/>
  </w:num>
  <w:num w:numId="8" w16cid:durableId="2044011805">
    <w:abstractNumId w:val="1"/>
  </w:num>
  <w:num w:numId="9" w16cid:durableId="1395658178">
    <w:abstractNumId w:val="12"/>
  </w:num>
  <w:num w:numId="10" w16cid:durableId="1442142221">
    <w:abstractNumId w:val="8"/>
  </w:num>
  <w:num w:numId="11" w16cid:durableId="606889231">
    <w:abstractNumId w:val="2"/>
  </w:num>
  <w:num w:numId="12" w16cid:durableId="1132213701">
    <w:abstractNumId w:val="3"/>
  </w:num>
  <w:num w:numId="13" w16cid:durableId="1278755829">
    <w:abstractNumId w:val="13"/>
  </w:num>
  <w:num w:numId="14" w16cid:durableId="14036298">
    <w:abstractNumId w:val="7"/>
  </w:num>
  <w:num w:numId="15" w16cid:durableId="985399967">
    <w:abstractNumId w:val="9"/>
  </w:num>
  <w:num w:numId="16" w16cid:durableId="1488861428">
    <w:abstractNumId w:val="10"/>
  </w:num>
  <w:num w:numId="17" w16cid:durableId="98137344">
    <w:abstractNumId w:val="17"/>
  </w:num>
  <w:num w:numId="18" w16cid:durableId="1760907020">
    <w:abstractNumId w:val="16"/>
  </w:num>
  <w:num w:numId="19" w16cid:durableId="1838156616">
    <w:abstractNumId w:val="0"/>
  </w:num>
  <w:num w:numId="20" w16cid:durableId="1637949188">
    <w:abstractNumId w:val="5"/>
  </w:num>
  <w:num w:numId="21" w16cid:durableId="124788586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501"/>
    <w:rsid w:val="00003BB3"/>
    <w:rsid w:val="00012E55"/>
    <w:rsid w:val="00013E69"/>
    <w:rsid w:val="000240C3"/>
    <w:rsid w:val="000274CA"/>
    <w:rsid w:val="00030E1D"/>
    <w:rsid w:val="00051330"/>
    <w:rsid w:val="00053906"/>
    <w:rsid w:val="00055538"/>
    <w:rsid w:val="000616A5"/>
    <w:rsid w:val="000652B8"/>
    <w:rsid w:val="00065521"/>
    <w:rsid w:val="000850F8"/>
    <w:rsid w:val="00087647"/>
    <w:rsid w:val="000B2B56"/>
    <w:rsid w:val="000B6B3E"/>
    <w:rsid w:val="000C71A5"/>
    <w:rsid w:val="000E166A"/>
    <w:rsid w:val="00113906"/>
    <w:rsid w:val="001175A3"/>
    <w:rsid w:val="00125BB5"/>
    <w:rsid w:val="00144C64"/>
    <w:rsid w:val="00151CFC"/>
    <w:rsid w:val="00186AB2"/>
    <w:rsid w:val="00190410"/>
    <w:rsid w:val="00190CBD"/>
    <w:rsid w:val="0019559B"/>
    <w:rsid w:val="001973AF"/>
    <w:rsid w:val="001A1E7D"/>
    <w:rsid w:val="001A5C8D"/>
    <w:rsid w:val="001B28F8"/>
    <w:rsid w:val="001D7AC6"/>
    <w:rsid w:val="00203FBB"/>
    <w:rsid w:val="00206907"/>
    <w:rsid w:val="00217A3C"/>
    <w:rsid w:val="0022368A"/>
    <w:rsid w:val="00233842"/>
    <w:rsid w:val="002354B6"/>
    <w:rsid w:val="002460BD"/>
    <w:rsid w:val="00254B20"/>
    <w:rsid w:val="00261191"/>
    <w:rsid w:val="0027342F"/>
    <w:rsid w:val="0029367D"/>
    <w:rsid w:val="002946BC"/>
    <w:rsid w:val="002A4DF2"/>
    <w:rsid w:val="002B53A5"/>
    <w:rsid w:val="002B5C72"/>
    <w:rsid w:val="002C044A"/>
    <w:rsid w:val="002C1334"/>
    <w:rsid w:val="002D1F9B"/>
    <w:rsid w:val="002D68E7"/>
    <w:rsid w:val="002D76A0"/>
    <w:rsid w:val="002E218B"/>
    <w:rsid w:val="002F545F"/>
    <w:rsid w:val="0031218B"/>
    <w:rsid w:val="0032575E"/>
    <w:rsid w:val="0032753D"/>
    <w:rsid w:val="003337E6"/>
    <w:rsid w:val="00345319"/>
    <w:rsid w:val="00363ADD"/>
    <w:rsid w:val="00365854"/>
    <w:rsid w:val="00371DB0"/>
    <w:rsid w:val="0038291C"/>
    <w:rsid w:val="00382EC5"/>
    <w:rsid w:val="00385828"/>
    <w:rsid w:val="0039003C"/>
    <w:rsid w:val="003C194A"/>
    <w:rsid w:val="003E00AC"/>
    <w:rsid w:val="003F7953"/>
    <w:rsid w:val="003F7E07"/>
    <w:rsid w:val="00401EE9"/>
    <w:rsid w:val="00411394"/>
    <w:rsid w:val="00417E8B"/>
    <w:rsid w:val="00417FCE"/>
    <w:rsid w:val="00421BBD"/>
    <w:rsid w:val="0043278B"/>
    <w:rsid w:val="004354F8"/>
    <w:rsid w:val="004375C8"/>
    <w:rsid w:val="004466D1"/>
    <w:rsid w:val="00447739"/>
    <w:rsid w:val="004516C0"/>
    <w:rsid w:val="00456A3A"/>
    <w:rsid w:val="004825AE"/>
    <w:rsid w:val="0048700E"/>
    <w:rsid w:val="00490EEE"/>
    <w:rsid w:val="004B283F"/>
    <w:rsid w:val="004D0E57"/>
    <w:rsid w:val="004D1EA7"/>
    <w:rsid w:val="004E06B3"/>
    <w:rsid w:val="004E6287"/>
    <w:rsid w:val="005057E2"/>
    <w:rsid w:val="00512B4C"/>
    <w:rsid w:val="00530383"/>
    <w:rsid w:val="00553D9D"/>
    <w:rsid w:val="005560FE"/>
    <w:rsid w:val="0055670B"/>
    <w:rsid w:val="00562637"/>
    <w:rsid w:val="00562F4E"/>
    <w:rsid w:val="00565027"/>
    <w:rsid w:val="005757F4"/>
    <w:rsid w:val="00580CDD"/>
    <w:rsid w:val="00584F53"/>
    <w:rsid w:val="00586672"/>
    <w:rsid w:val="005A4913"/>
    <w:rsid w:val="005A63C4"/>
    <w:rsid w:val="005B297A"/>
    <w:rsid w:val="005C1407"/>
    <w:rsid w:val="005C20A2"/>
    <w:rsid w:val="005F0CAE"/>
    <w:rsid w:val="005F518F"/>
    <w:rsid w:val="005F79C5"/>
    <w:rsid w:val="00603F40"/>
    <w:rsid w:val="006053D9"/>
    <w:rsid w:val="00606732"/>
    <w:rsid w:val="00611B32"/>
    <w:rsid w:val="006264E3"/>
    <w:rsid w:val="00645070"/>
    <w:rsid w:val="00646CD9"/>
    <w:rsid w:val="0065036A"/>
    <w:rsid w:val="00653E3F"/>
    <w:rsid w:val="00680791"/>
    <w:rsid w:val="006B114C"/>
    <w:rsid w:val="006B6A40"/>
    <w:rsid w:val="006C1AFF"/>
    <w:rsid w:val="006D02B7"/>
    <w:rsid w:val="006D3088"/>
    <w:rsid w:val="006E4532"/>
    <w:rsid w:val="006F31C3"/>
    <w:rsid w:val="006F666E"/>
    <w:rsid w:val="00702CFD"/>
    <w:rsid w:val="00703333"/>
    <w:rsid w:val="00721A90"/>
    <w:rsid w:val="007279C9"/>
    <w:rsid w:val="00730C5E"/>
    <w:rsid w:val="00734CAA"/>
    <w:rsid w:val="0074533E"/>
    <w:rsid w:val="00747646"/>
    <w:rsid w:val="00755244"/>
    <w:rsid w:val="00761FBC"/>
    <w:rsid w:val="00770B34"/>
    <w:rsid w:val="00773C36"/>
    <w:rsid w:val="00773FD6"/>
    <w:rsid w:val="00796023"/>
    <w:rsid w:val="0079792B"/>
    <w:rsid w:val="007B249B"/>
    <w:rsid w:val="007D420B"/>
    <w:rsid w:val="007E206E"/>
    <w:rsid w:val="007E7DA3"/>
    <w:rsid w:val="007F1527"/>
    <w:rsid w:val="00820B72"/>
    <w:rsid w:val="0082694E"/>
    <w:rsid w:val="0082705D"/>
    <w:rsid w:val="00834CBC"/>
    <w:rsid w:val="00857B87"/>
    <w:rsid w:val="00857D62"/>
    <w:rsid w:val="00860758"/>
    <w:rsid w:val="008718F8"/>
    <w:rsid w:val="00876002"/>
    <w:rsid w:val="008767C9"/>
    <w:rsid w:val="00880067"/>
    <w:rsid w:val="00883923"/>
    <w:rsid w:val="008879B1"/>
    <w:rsid w:val="008936E0"/>
    <w:rsid w:val="0089673A"/>
    <w:rsid w:val="008B5091"/>
    <w:rsid w:val="008C065D"/>
    <w:rsid w:val="008D127B"/>
    <w:rsid w:val="008D1380"/>
    <w:rsid w:val="008D5341"/>
    <w:rsid w:val="008E1A93"/>
    <w:rsid w:val="008E1E34"/>
    <w:rsid w:val="008E20E7"/>
    <w:rsid w:val="008F322A"/>
    <w:rsid w:val="00900AA0"/>
    <w:rsid w:val="00905043"/>
    <w:rsid w:val="00931DC7"/>
    <w:rsid w:val="00940C87"/>
    <w:rsid w:val="009459E4"/>
    <w:rsid w:val="00951D42"/>
    <w:rsid w:val="00952D60"/>
    <w:rsid w:val="0095614A"/>
    <w:rsid w:val="00960FD6"/>
    <w:rsid w:val="00962393"/>
    <w:rsid w:val="009629A9"/>
    <w:rsid w:val="0096699C"/>
    <w:rsid w:val="00977465"/>
    <w:rsid w:val="00985AF2"/>
    <w:rsid w:val="009905F3"/>
    <w:rsid w:val="00994240"/>
    <w:rsid w:val="009A4603"/>
    <w:rsid w:val="009A5C70"/>
    <w:rsid w:val="009B1BC4"/>
    <w:rsid w:val="009C0F94"/>
    <w:rsid w:val="009C2720"/>
    <w:rsid w:val="009C482D"/>
    <w:rsid w:val="009E5D58"/>
    <w:rsid w:val="009E6F34"/>
    <w:rsid w:val="00A11E11"/>
    <w:rsid w:val="00A16501"/>
    <w:rsid w:val="00A37805"/>
    <w:rsid w:val="00A4437E"/>
    <w:rsid w:val="00A50936"/>
    <w:rsid w:val="00A5464B"/>
    <w:rsid w:val="00A55314"/>
    <w:rsid w:val="00A563CB"/>
    <w:rsid w:val="00A6598F"/>
    <w:rsid w:val="00A678C2"/>
    <w:rsid w:val="00A73E30"/>
    <w:rsid w:val="00A8329D"/>
    <w:rsid w:val="00AB13D5"/>
    <w:rsid w:val="00AB1C23"/>
    <w:rsid w:val="00AB2183"/>
    <w:rsid w:val="00AB2DFE"/>
    <w:rsid w:val="00AB43E5"/>
    <w:rsid w:val="00AC2904"/>
    <w:rsid w:val="00AC4A7A"/>
    <w:rsid w:val="00AC565D"/>
    <w:rsid w:val="00AC60A7"/>
    <w:rsid w:val="00AD38A2"/>
    <w:rsid w:val="00AD3C69"/>
    <w:rsid w:val="00AE7F6F"/>
    <w:rsid w:val="00AF2770"/>
    <w:rsid w:val="00B03584"/>
    <w:rsid w:val="00B26DC5"/>
    <w:rsid w:val="00B3730A"/>
    <w:rsid w:val="00B47ED1"/>
    <w:rsid w:val="00B5144D"/>
    <w:rsid w:val="00B57028"/>
    <w:rsid w:val="00B62969"/>
    <w:rsid w:val="00B775F2"/>
    <w:rsid w:val="00B914BB"/>
    <w:rsid w:val="00B9735D"/>
    <w:rsid w:val="00BA0B77"/>
    <w:rsid w:val="00BB2714"/>
    <w:rsid w:val="00BB289F"/>
    <w:rsid w:val="00BB3706"/>
    <w:rsid w:val="00BC646D"/>
    <w:rsid w:val="00BD0A3D"/>
    <w:rsid w:val="00BD5C78"/>
    <w:rsid w:val="00BE0E50"/>
    <w:rsid w:val="00BF33F8"/>
    <w:rsid w:val="00BF523C"/>
    <w:rsid w:val="00C20AB9"/>
    <w:rsid w:val="00C27F89"/>
    <w:rsid w:val="00C41E2A"/>
    <w:rsid w:val="00C51474"/>
    <w:rsid w:val="00C53553"/>
    <w:rsid w:val="00C545F2"/>
    <w:rsid w:val="00C54608"/>
    <w:rsid w:val="00C637C4"/>
    <w:rsid w:val="00C72090"/>
    <w:rsid w:val="00C72769"/>
    <w:rsid w:val="00C73E03"/>
    <w:rsid w:val="00C75CD2"/>
    <w:rsid w:val="00C774BD"/>
    <w:rsid w:val="00CA2617"/>
    <w:rsid w:val="00CA630D"/>
    <w:rsid w:val="00CA7B1A"/>
    <w:rsid w:val="00CB382A"/>
    <w:rsid w:val="00CB3EC0"/>
    <w:rsid w:val="00CC76C0"/>
    <w:rsid w:val="00CD041F"/>
    <w:rsid w:val="00CD2A1E"/>
    <w:rsid w:val="00CD5BFF"/>
    <w:rsid w:val="00CE3F68"/>
    <w:rsid w:val="00CF31A6"/>
    <w:rsid w:val="00CF681E"/>
    <w:rsid w:val="00D000D5"/>
    <w:rsid w:val="00D03835"/>
    <w:rsid w:val="00D055CC"/>
    <w:rsid w:val="00D05F52"/>
    <w:rsid w:val="00D20BFC"/>
    <w:rsid w:val="00D22374"/>
    <w:rsid w:val="00D23771"/>
    <w:rsid w:val="00D36733"/>
    <w:rsid w:val="00D4794B"/>
    <w:rsid w:val="00D47A16"/>
    <w:rsid w:val="00D64AB5"/>
    <w:rsid w:val="00D72F36"/>
    <w:rsid w:val="00D75390"/>
    <w:rsid w:val="00D86731"/>
    <w:rsid w:val="00D94788"/>
    <w:rsid w:val="00D96A40"/>
    <w:rsid w:val="00DE7622"/>
    <w:rsid w:val="00DF398B"/>
    <w:rsid w:val="00DF7DBD"/>
    <w:rsid w:val="00E02BDB"/>
    <w:rsid w:val="00E16C5F"/>
    <w:rsid w:val="00E22C14"/>
    <w:rsid w:val="00E62A03"/>
    <w:rsid w:val="00E67B5F"/>
    <w:rsid w:val="00E773F3"/>
    <w:rsid w:val="00E812BA"/>
    <w:rsid w:val="00E918AA"/>
    <w:rsid w:val="00EA261A"/>
    <w:rsid w:val="00EC223F"/>
    <w:rsid w:val="00ED0132"/>
    <w:rsid w:val="00EE3CC4"/>
    <w:rsid w:val="00EE7318"/>
    <w:rsid w:val="00F00686"/>
    <w:rsid w:val="00F141BB"/>
    <w:rsid w:val="00F241ED"/>
    <w:rsid w:val="00F36B28"/>
    <w:rsid w:val="00F479D8"/>
    <w:rsid w:val="00F56A76"/>
    <w:rsid w:val="00F61E19"/>
    <w:rsid w:val="00F72538"/>
    <w:rsid w:val="00F744B4"/>
    <w:rsid w:val="00F846F6"/>
    <w:rsid w:val="00F86B4B"/>
    <w:rsid w:val="00F9299C"/>
    <w:rsid w:val="00FA4AAF"/>
    <w:rsid w:val="00FD0D21"/>
    <w:rsid w:val="00FD347E"/>
    <w:rsid w:val="00FE5AFB"/>
    <w:rsid w:val="00FF3E70"/>
    <w:rsid w:val="00FF67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072387"/>
  <w15:docId w15:val="{EEE23A43-BAC4-44DB-85B5-EA5EA9B07A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92"/>
      <w:ind w:left="14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8"/>
      <w:ind w:left="20"/>
    </w:pPr>
    <w:rPr>
      <w:sz w:val="36"/>
      <w:szCs w:val="36"/>
    </w:rPr>
  </w:style>
  <w:style w:type="paragraph" w:styleId="ListParagraph">
    <w:name w:val="List Paragraph"/>
    <w:basedOn w:val="Normal"/>
    <w:uiPriority w:val="1"/>
    <w:qFormat/>
    <w:pPr>
      <w:ind w:left="1579" w:hanging="360"/>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CB382A"/>
    <w:rPr>
      <w:color w:val="0000FF" w:themeColor="hyperlink"/>
      <w:u w:val="single"/>
    </w:rPr>
  </w:style>
  <w:style w:type="character" w:styleId="UnresolvedMention">
    <w:name w:val="Unresolved Mention"/>
    <w:basedOn w:val="DefaultParagraphFont"/>
    <w:uiPriority w:val="99"/>
    <w:semiHidden/>
    <w:unhideWhenUsed/>
    <w:rsid w:val="00CB382A"/>
    <w:rPr>
      <w:color w:val="605E5C"/>
      <w:shd w:val="clear" w:color="auto" w:fill="E1DFDD"/>
    </w:rPr>
  </w:style>
  <w:style w:type="character" w:styleId="FollowedHyperlink">
    <w:name w:val="FollowedHyperlink"/>
    <w:basedOn w:val="DefaultParagraphFont"/>
    <w:uiPriority w:val="99"/>
    <w:semiHidden/>
    <w:unhideWhenUsed/>
    <w:rsid w:val="00012E55"/>
    <w:rPr>
      <w:color w:val="800080" w:themeColor="followedHyperlink"/>
      <w:u w:val="single"/>
    </w:rPr>
  </w:style>
  <w:style w:type="paragraph" w:styleId="Header">
    <w:name w:val="header"/>
    <w:basedOn w:val="Normal"/>
    <w:link w:val="HeaderChar"/>
    <w:uiPriority w:val="99"/>
    <w:unhideWhenUsed/>
    <w:rsid w:val="0022368A"/>
    <w:pPr>
      <w:tabs>
        <w:tab w:val="center" w:pos="4680"/>
        <w:tab w:val="right" w:pos="9360"/>
      </w:tabs>
    </w:pPr>
  </w:style>
  <w:style w:type="character" w:customStyle="1" w:styleId="HeaderChar">
    <w:name w:val="Header Char"/>
    <w:basedOn w:val="DefaultParagraphFont"/>
    <w:link w:val="Header"/>
    <w:uiPriority w:val="99"/>
    <w:rsid w:val="0022368A"/>
    <w:rPr>
      <w:rFonts w:ascii="Arial" w:eastAsia="Arial" w:hAnsi="Arial" w:cs="Arial"/>
    </w:rPr>
  </w:style>
  <w:style w:type="paragraph" w:styleId="Footer">
    <w:name w:val="footer"/>
    <w:basedOn w:val="Normal"/>
    <w:link w:val="FooterChar"/>
    <w:uiPriority w:val="99"/>
    <w:unhideWhenUsed/>
    <w:rsid w:val="0022368A"/>
    <w:pPr>
      <w:tabs>
        <w:tab w:val="center" w:pos="4680"/>
        <w:tab w:val="right" w:pos="9360"/>
      </w:tabs>
    </w:pPr>
  </w:style>
  <w:style w:type="character" w:customStyle="1" w:styleId="FooterChar">
    <w:name w:val="Footer Char"/>
    <w:basedOn w:val="DefaultParagraphFont"/>
    <w:link w:val="Footer"/>
    <w:uiPriority w:val="99"/>
    <w:rsid w:val="0022368A"/>
    <w:rPr>
      <w:rFonts w:ascii="Arial" w:eastAsia="Arial" w:hAnsi="Arial" w:cs="Arial"/>
    </w:rPr>
  </w:style>
  <w:style w:type="table" w:styleId="TableGrid">
    <w:name w:val="Table Grid"/>
    <w:basedOn w:val="TableNormal"/>
    <w:uiPriority w:val="39"/>
    <w:rsid w:val="00AB2D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985AF2"/>
    <w:rPr>
      <w:rFonts w:ascii="Arial" w:eastAsia="Arial" w:hAnsi="Arial" w:cs="Arial"/>
    </w:rPr>
  </w:style>
  <w:style w:type="character" w:styleId="CommentReference">
    <w:name w:val="annotation reference"/>
    <w:basedOn w:val="DefaultParagraphFont"/>
    <w:uiPriority w:val="99"/>
    <w:semiHidden/>
    <w:unhideWhenUsed/>
    <w:rsid w:val="008C065D"/>
    <w:rPr>
      <w:sz w:val="16"/>
      <w:szCs w:val="16"/>
    </w:rPr>
  </w:style>
  <w:style w:type="paragraph" w:styleId="CommentText">
    <w:name w:val="annotation text"/>
    <w:basedOn w:val="Normal"/>
    <w:link w:val="CommentTextChar"/>
    <w:uiPriority w:val="99"/>
    <w:unhideWhenUsed/>
    <w:rsid w:val="008C065D"/>
    <w:rPr>
      <w:sz w:val="20"/>
      <w:szCs w:val="20"/>
    </w:rPr>
  </w:style>
  <w:style w:type="character" w:customStyle="1" w:styleId="CommentTextChar">
    <w:name w:val="Comment Text Char"/>
    <w:basedOn w:val="DefaultParagraphFont"/>
    <w:link w:val="CommentText"/>
    <w:uiPriority w:val="99"/>
    <w:rsid w:val="008C065D"/>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8C065D"/>
    <w:rPr>
      <w:b/>
      <w:bCs/>
    </w:rPr>
  </w:style>
  <w:style w:type="character" w:customStyle="1" w:styleId="CommentSubjectChar">
    <w:name w:val="Comment Subject Char"/>
    <w:basedOn w:val="CommentTextChar"/>
    <w:link w:val="CommentSubject"/>
    <w:uiPriority w:val="99"/>
    <w:semiHidden/>
    <w:rsid w:val="008C065D"/>
    <w:rPr>
      <w:rFonts w:ascii="Arial" w:eastAsia="Arial" w:hAnsi="Arial" w:cs="Arial"/>
      <w:b/>
      <w:bCs/>
      <w:sz w:val="20"/>
      <w:szCs w:val="20"/>
    </w:rPr>
  </w:style>
  <w:style w:type="paragraph" w:styleId="Revision">
    <w:name w:val="Revision"/>
    <w:hidden/>
    <w:uiPriority w:val="99"/>
    <w:semiHidden/>
    <w:rsid w:val="008C065D"/>
    <w:pPr>
      <w:widowControl/>
      <w:autoSpaceDE/>
      <w:autoSpaceDN/>
    </w:pPr>
    <w:rPr>
      <w:rFonts w:ascii="Arial" w:eastAsia="Arial" w:hAnsi="Arial" w:cs="Arial"/>
    </w:rPr>
  </w:style>
  <w:style w:type="character" w:styleId="Mention">
    <w:name w:val="Mention"/>
    <w:basedOn w:val="DefaultParagraphFont"/>
    <w:uiPriority w:val="99"/>
    <w:unhideWhenUsed/>
    <w:rsid w:val="00BB3706"/>
    <w:rPr>
      <w:color w:val="2B579A"/>
      <w:shd w:val="clear" w:color="auto" w:fill="E1DFDD"/>
    </w:rPr>
  </w:style>
  <w:style w:type="character" w:styleId="Strong">
    <w:name w:val="Strong"/>
    <w:basedOn w:val="DefaultParagraphFont"/>
    <w:uiPriority w:val="22"/>
    <w:qFormat/>
    <w:rsid w:val="00C73E0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405916">
      <w:bodyDiv w:val="1"/>
      <w:marLeft w:val="0"/>
      <w:marRight w:val="0"/>
      <w:marTop w:val="0"/>
      <w:marBottom w:val="0"/>
      <w:divBdr>
        <w:top w:val="none" w:sz="0" w:space="0" w:color="auto"/>
        <w:left w:val="none" w:sz="0" w:space="0" w:color="auto"/>
        <w:bottom w:val="none" w:sz="0" w:space="0" w:color="auto"/>
        <w:right w:val="none" w:sz="0" w:space="0" w:color="auto"/>
      </w:divBdr>
    </w:div>
    <w:div w:id="903024330">
      <w:bodyDiv w:val="1"/>
      <w:marLeft w:val="0"/>
      <w:marRight w:val="0"/>
      <w:marTop w:val="0"/>
      <w:marBottom w:val="0"/>
      <w:divBdr>
        <w:top w:val="none" w:sz="0" w:space="0" w:color="auto"/>
        <w:left w:val="none" w:sz="0" w:space="0" w:color="auto"/>
        <w:bottom w:val="none" w:sz="0" w:space="0" w:color="auto"/>
        <w:right w:val="none" w:sz="0" w:space="0" w:color="auto"/>
      </w:divBdr>
    </w:div>
    <w:div w:id="950087341">
      <w:bodyDiv w:val="1"/>
      <w:marLeft w:val="0"/>
      <w:marRight w:val="0"/>
      <w:marTop w:val="0"/>
      <w:marBottom w:val="0"/>
      <w:divBdr>
        <w:top w:val="none" w:sz="0" w:space="0" w:color="auto"/>
        <w:left w:val="none" w:sz="0" w:space="0" w:color="auto"/>
        <w:bottom w:val="none" w:sz="0" w:space="0" w:color="auto"/>
        <w:right w:val="none" w:sz="0" w:space="0" w:color="auto"/>
      </w:divBdr>
    </w:div>
    <w:div w:id="1000039610">
      <w:bodyDiv w:val="1"/>
      <w:marLeft w:val="0"/>
      <w:marRight w:val="0"/>
      <w:marTop w:val="0"/>
      <w:marBottom w:val="0"/>
      <w:divBdr>
        <w:top w:val="none" w:sz="0" w:space="0" w:color="auto"/>
        <w:left w:val="none" w:sz="0" w:space="0" w:color="auto"/>
        <w:bottom w:val="none" w:sz="0" w:space="0" w:color="auto"/>
        <w:right w:val="none" w:sz="0" w:space="0" w:color="auto"/>
      </w:divBdr>
    </w:div>
    <w:div w:id="1071729454">
      <w:bodyDiv w:val="1"/>
      <w:marLeft w:val="0"/>
      <w:marRight w:val="0"/>
      <w:marTop w:val="0"/>
      <w:marBottom w:val="0"/>
      <w:divBdr>
        <w:top w:val="none" w:sz="0" w:space="0" w:color="auto"/>
        <w:left w:val="none" w:sz="0" w:space="0" w:color="auto"/>
        <w:bottom w:val="none" w:sz="0" w:space="0" w:color="auto"/>
        <w:right w:val="none" w:sz="0" w:space="0" w:color="auto"/>
      </w:divBdr>
    </w:div>
    <w:div w:id="1407268473">
      <w:bodyDiv w:val="1"/>
      <w:marLeft w:val="0"/>
      <w:marRight w:val="0"/>
      <w:marTop w:val="0"/>
      <w:marBottom w:val="0"/>
      <w:divBdr>
        <w:top w:val="none" w:sz="0" w:space="0" w:color="auto"/>
        <w:left w:val="none" w:sz="0" w:space="0" w:color="auto"/>
        <w:bottom w:val="none" w:sz="0" w:space="0" w:color="auto"/>
        <w:right w:val="none" w:sz="0" w:space="0" w:color="auto"/>
      </w:divBdr>
    </w:div>
    <w:div w:id="1605576540">
      <w:bodyDiv w:val="1"/>
      <w:marLeft w:val="0"/>
      <w:marRight w:val="0"/>
      <w:marTop w:val="0"/>
      <w:marBottom w:val="0"/>
      <w:divBdr>
        <w:top w:val="none" w:sz="0" w:space="0" w:color="auto"/>
        <w:left w:val="none" w:sz="0" w:space="0" w:color="auto"/>
        <w:bottom w:val="none" w:sz="0" w:space="0" w:color="auto"/>
        <w:right w:val="none" w:sz="0" w:space="0" w:color="auto"/>
      </w:divBdr>
    </w:div>
    <w:div w:id="18263886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hr.osu.edu/wp-content/uploads/policy415.pdf" TargetMode="External"/><Relationship Id="rId18" Type="http://schemas.openxmlformats.org/officeDocument/2006/relationships/hyperlink" Target="https://www.opers.org/forms-archive/PEDACKN-Non-Member-Acknowledgment.pdf" TargetMode="External"/><Relationship Id="rId3" Type="http://schemas.openxmlformats.org/officeDocument/2006/relationships/customXml" Target="../customXml/item3.xml"/><Relationship Id="rId21" Type="http://schemas.openxmlformats.org/officeDocument/2006/relationships/hyperlink" Target="https://teams.microsoft.com/l/team/19%3Aju-Uo5VvEHpdbqNY8nldZ4B8udfR_7-0Bw1DU7JKA5Y1%40thread.tacv2/conversations?groupId=aa6c65c7-aada-4120-afb8-435d83bba9b4&amp;tenantId=eb095636-1052-4895-952b-1ff9df1d1121" TargetMode="External"/><Relationship Id="rId7" Type="http://schemas.openxmlformats.org/officeDocument/2006/relationships/settings" Target="settings.xml"/><Relationship Id="rId12" Type="http://schemas.openxmlformats.org/officeDocument/2006/relationships/hyperlink" Target="https://click.t.osu.edu/?qs=9af91f8971cf12dd165ae2ac045fff93bfce8cde5303709261f151e1b9a74aa55f848d44f4b147f1e0e17830660986c324c85296923ed6ed" TargetMode="External"/><Relationship Id="rId17" Type="http://schemas.openxmlformats.org/officeDocument/2006/relationships/hyperlink" Target="https://busfin.osu.edu/sites/default/files/documents/Independent-Contractor.pdf?utm_source=sfmc&amp;utm_medium=email&amp;utm_campaign=ehe_faculty-staff-newsletter_fy25_ehe-insider-20250303&amp;sfmc_key=0032E00002tKvyNQAS"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apps.docusign.com/api/send/api/accounts/387d1013-fb1c-4705-9bd9-7cf575f484ce/templates/e60bf88c-9d0d-43da-8fd3-ee4da571682f/documents/1/preview/document.pdf?" TargetMode="External"/><Relationship Id="rId20" Type="http://schemas.openxmlformats.org/officeDocument/2006/relationships/hyperlink" Target="https://apps.docusign.com/send/templates/details/75bfe202-069b-4563-9f52-b7300260f32a"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lick.t.osu.edu/?qs=9af91f8971cf12dd9809493cc235ff62e7de6e7ccbcc457de488f450cb3e9c53ad74b2dcb66dcd934ce7d395a348f4a5630e0ecbfa480a74"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busfin.osu.edu/buy-sell-travel/purchasing/procurement-resources/independent-contractor-guidelines?utm_source=sfmc&amp;utm_medium=email&amp;utm_campaign=ehe_faculty-staff-newsletter_fy25_ehe-insider-20250303&amp;sfmc_key=0032E00002tKvyNQAS" TargetMode="External"/><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www.sterlingtalentsolutions.com/landing-pages/o/os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hr.osu.edu/wp-content/uploads/policy417.pdf" TargetMode="External"/><Relationship Id="rId22" Type="http://schemas.openxmlformats.org/officeDocument/2006/relationships/hyperlink" Target="https://teams.microsoft.com/l/team/19%3Aju-Uo5VvEHpdbqNY8nldZ4B8udfR_7-0Bw1DU7JKA5Y1%40thread.tacv2/conversations?groupId=aa6c65c7-aada-4120-afb8-435d83bba9b4&amp;tenantId=eb095636-1052-4895-952b-1ff9df1d112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2179BE297C1E64DA23778F2E0EE1337" ma:contentTypeVersion="14" ma:contentTypeDescription="Create a new document." ma:contentTypeScope="" ma:versionID="a98404c1db067e728dbda9f16b74efe7">
  <xsd:schema xmlns:xsd="http://www.w3.org/2001/XMLSchema" xmlns:xs="http://www.w3.org/2001/XMLSchema" xmlns:p="http://schemas.microsoft.com/office/2006/metadata/properties" xmlns:ns3="af5c9391-59ef-4e28-9286-1fcefc561d80" xmlns:ns4="dc2f0446-5e36-464b-a5c0-bf47b28d245a" targetNamespace="http://schemas.microsoft.com/office/2006/metadata/properties" ma:root="true" ma:fieldsID="15f40f23d9c6e0e775943865fe499c25" ns3:_="" ns4:_="">
    <xsd:import namespace="af5c9391-59ef-4e28-9286-1fcefc561d80"/>
    <xsd:import namespace="dc2f0446-5e36-464b-a5c0-bf47b28d245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AutoKeyPoints" minOccurs="0"/>
                <xsd:element ref="ns3:MediaServiceKeyPoints" minOccurs="0"/>
                <xsd:element ref="ns3:MediaServiceOCR" minOccurs="0"/>
                <xsd:element ref="ns3:MediaServiceGenerationTime" minOccurs="0"/>
                <xsd:element ref="ns3:MediaServiceEventHashCode"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5c9391-59ef-4e28-9286-1fcefc561d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c2f0446-5e36-464b-a5c0-bf47b28d245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5D9558-FB56-4D8C-9413-FD0AE75E43D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4F1777D-C0C8-4387-AC7B-8AFAAB013784}">
  <ds:schemaRefs>
    <ds:schemaRef ds:uri="http://schemas.microsoft.com/sharepoint/v3/contenttype/forms"/>
  </ds:schemaRefs>
</ds:datastoreItem>
</file>

<file path=customXml/itemProps3.xml><?xml version="1.0" encoding="utf-8"?>
<ds:datastoreItem xmlns:ds="http://schemas.openxmlformats.org/officeDocument/2006/customXml" ds:itemID="{999E7561-411C-4D12-8533-C5CC0F8F56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5c9391-59ef-4e28-9286-1fcefc561d80"/>
    <ds:schemaRef ds:uri="dc2f0446-5e36-464b-a5c0-bf47b28d24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93BAC8B-459C-4E1E-908D-FF626662E4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1257</Words>
  <Characters>7166</Characters>
  <Application>Microsoft Office Word</Application>
  <DocSecurity>4</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jlang</dc:creator>
  <cp:lastModifiedBy>Lloyd, Paige</cp:lastModifiedBy>
  <cp:revision>2</cp:revision>
  <dcterms:created xsi:type="dcterms:W3CDTF">2025-07-21T20:28:00Z</dcterms:created>
  <dcterms:modified xsi:type="dcterms:W3CDTF">2025-07-21T20:28:00Z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2018-04-17T00:00:00Z</vt:filetime>
  </property>
  <property fmtid="{D5CDD505-2E9C-101B-9397-08002B2CF9AE}" pid="3" name="Creator">
    <vt:lpwstr>Acrobat PDFMaker 18 for Word</vt:lpwstr>
  </property>
  <property fmtid="{D5CDD505-2E9C-101B-9397-08002B2CF9AE}" pid="4" name="LastSaved">
    <vt:filetime>2022-06-08T00:00:00Z</vt:filetime>
  </property>
  <property fmtid="{D5CDD505-2E9C-101B-9397-08002B2CF9AE}" pid="5" name="ContentTypeId">
    <vt:lpwstr>0x010100B2179BE297C1E64DA23778F2E0EE1337</vt:lpwstr>
  </property>
</Properties>
</file>